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9" w:rsidRDefault="00887E29" w:rsidP="00887E29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887E29" w:rsidRDefault="00887E29" w:rsidP="00887E29">
      <w:pPr>
        <w:adjustRightInd w:val="0"/>
        <w:snapToGrid w:val="0"/>
        <w:spacing w:line="560" w:lineRule="exact"/>
        <w:jc w:val="center"/>
        <w:outlineLvl w:val="0"/>
        <w:rPr>
          <w:rFonts w:ascii="黑体" w:eastAsia="CESI宋体-GB2312" w:hAnsi="黑体" w:hint="eastAsia"/>
          <w:b/>
          <w:bCs/>
          <w:color w:val="000000"/>
          <w:sz w:val="32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儿童友好医院建设指南</w:t>
      </w:r>
      <w:bookmarkEnd w:id="0"/>
    </w:p>
    <w:p w:rsidR="00887E29" w:rsidRDefault="00887E29" w:rsidP="00887E29">
      <w:pPr>
        <w:adjustRightInd w:val="0"/>
        <w:snapToGrid w:val="0"/>
        <w:spacing w:line="560" w:lineRule="exact"/>
        <w:rPr>
          <w:rFonts w:ascii="黑体" w:eastAsia="CESI宋体-GB2312" w:hAnsi="黑体" w:hint="eastAsia"/>
          <w:b/>
          <w:bCs/>
          <w:color w:val="000000"/>
          <w:sz w:val="32"/>
          <w:szCs w:val="28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8044"/>
        <w:gridCol w:w="750"/>
        <w:gridCol w:w="750"/>
        <w:gridCol w:w="750"/>
        <w:gridCol w:w="972"/>
        <w:gridCol w:w="778"/>
        <w:gridCol w:w="1545"/>
      </w:tblGrid>
      <w:tr w:rsidR="00887E29" w:rsidTr="0059741E">
        <w:trPr>
          <w:trHeight w:val="90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维度</w:t>
            </w:r>
          </w:p>
        </w:tc>
        <w:tc>
          <w:tcPr>
            <w:tcW w:w="2788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260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儿童医院</w:t>
            </w:r>
          </w:p>
        </w:tc>
        <w:tc>
          <w:tcPr>
            <w:tcW w:w="260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综合医院</w:t>
            </w:r>
          </w:p>
        </w:tc>
        <w:tc>
          <w:tcPr>
            <w:tcW w:w="260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中医医院</w:t>
            </w:r>
          </w:p>
        </w:tc>
        <w:tc>
          <w:tcPr>
            <w:tcW w:w="607" w:type="pct"/>
            <w:gridSpan w:val="2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妇幼保健机构</w:t>
            </w:r>
          </w:p>
        </w:tc>
        <w:tc>
          <w:tcPr>
            <w:tcW w:w="536" w:type="pct"/>
            <w:vMerge w:val="restart"/>
            <w:vAlign w:val="center"/>
          </w:tcPr>
          <w:p w:rsidR="00887E29" w:rsidRDefault="00887E29" w:rsidP="0059741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乡镇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卫生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院、社区卫生服务中心</w:t>
            </w:r>
          </w:p>
        </w:tc>
      </w:tr>
      <w:tr w:rsidR="00887E29" w:rsidTr="0059741E">
        <w:trPr>
          <w:trHeight w:val="312"/>
          <w:tblHeader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788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337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省级、地市级</w:t>
            </w:r>
          </w:p>
        </w:tc>
        <w:tc>
          <w:tcPr>
            <w:tcW w:w="269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县级</w:t>
            </w:r>
          </w:p>
        </w:tc>
        <w:tc>
          <w:tcPr>
            <w:tcW w:w="53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312"/>
          <w:tblHeader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788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0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337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53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 w:val="restar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就医空间友好</w:t>
            </w: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就医空间友好</w:t>
            </w: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1.医疗机构建筑物外部设计和内部装饰，融入趣味化设计元素，采用多元化色彩表达。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2.适当增大走廊、候诊区、休息区面积。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3.在院区内设置儿童“游戏角落”和“阅读空间”。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4.配备饮水、就餐、零售等生活便利设施。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5.合理规划门诊布局，优化就诊路径，设置导诊、咨询、检查检验预约、缴费、查询等“一站式”服务中心。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6.导诊标识标牌清晰易懂。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7.门诊区域实施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儿化设计和改造，适当降低就诊台、采血窗口等设施高度。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8.就诊区域配备母婴室、婴儿整理台、儿童座椅、家庭厕所。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9.卫生间设置幼儿专用大小便设施和洗手池。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10.分区设置儿童保健与儿童疾病诊疗区域，加强通风消毒。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11.儿童病房配置符合标准的儿童专用病床，保障每张病床充足使用面积，卫生间配备儿童专用马桶和热水系统，完善洗浴、通风、防滑、照明、取暖、紧急呼叫等功能。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12.儿童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病房双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人间、三人间达80%以上，具备条件的医疗机构适当增加单人间比例，开设家长可陪护的家庭化病房。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1667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13.儿童病房每床净使用面积≥6m²，儿科有陪护病房每床应当配备护士≥0.4名，无陪护病房每床应当配备护士≥0.5名；新生儿科无陪病室每床净使用面积应≥3m²，新生儿科有陪病室应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一房且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每床净使用面积≥12m²。新生儿科病室医师人数与实际开放床位数之比≥0.3名、护士人数与实际开放床位数之比≥0.6名。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14.加强病房公共空间无障碍设施和安全防护设施配备，增设儿童“关爱空间”，家长或医护人员陪伴住院患儿在此阅读、游戏和亲子互动。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15.室内通道设置儿童扶手，地面采用防滑及软质材料，适当加高窗台、护栏。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16.重点部位和区域配置视频监控、紧急报警、防护栏杆等安全设施。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17.优化医疗机构院区内外交通布局，设置人行道、机动车专用道及减速设施，实行人车分离。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18.定期清洗消毒公用设施，巡护检查室内外活动场地、道路中央井盖、道路两侧树池等点位。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 w:val="restar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健康服务友好</w:t>
            </w: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健康服务友好</w:t>
            </w: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健康服务友好</w:t>
            </w: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健康服务友好</w:t>
            </w: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19.妇幼保健机构突出以儿童健康为中心，打破“防”“治”科室分设格局，组合设立儿童保健部，按照儿童生长全过程优化服务流程，整合医疗保健服务内容，构建系统连续、防治结合的服务模式。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20.儿童医院聚焦儿童疾病诊断治疗，以患儿为中心，临床科室相互配合建立多学科诊疗服务模式，构建儿童重大疾病和常见病救治优势。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21.综合医院、中医医院将涉及儿童诊疗的相关科室聚集在一起，建立儿童门诊、检查、住院、康复等物理空间相对集中、诊疗服务相对连续的儿童诊疗区域。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22.基层医疗卫生机构优化预防接种、儿童保健、儿科门诊设置，实现布局合理、数据共享、服务连续。服务能力达到《社区卫生服务中心和乡镇卫生院服务能力评价指南（2023版）》B级以上。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23.建立预约诊疗制度，落实分时段预约。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24.结合儿童就医特点合理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安排号源数量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，为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患沟通预留充足时间。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25.弹性调整门诊时间，疏解高峰时段就诊压力。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26.优化门诊流程，在保障资金安全的前提下，“一次就诊付费一次”，减少患儿就诊等候。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27.常规检查检验结果当日反馈，减少就诊挂号次数。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28.针对儿童呼吸道疾病季节性就诊高峰，加强资源配置和科学调度，在挂号、检验检查、取药、输液等环节采取措施优化服务流程，推行“先检查后诊疗”。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推广新生儿早期基本保健服务，促进出生后立即母婴皮肤接触、晚断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、早开奶、袋鼠式护理等核心措施落实，提高新生儿生存质量。</w:t>
            </w:r>
          </w:p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（此项要求针对设置产科或新生儿科的医疗机构）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30.妇幼保健机构和基层医疗卫生机构加强0～6岁儿童健康管理服务，推动体格生长监测、营养喂养指导、心理和行为发育评估、眼保健和口腔保健、听力障碍筛查等服务落实落细。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31.将儿童健康管理纳入家庭医生签约服务，提供多元化、多层次、个性化儿童保健服务包。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32.强化0～36个月儿童中医药健康管理。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33.县级妇幼保健机构、基层医疗卫生机构定期上门指导托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和幼儿园，普及科学育儿知识，宣传婴幼儿常见病多发病防控措施。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加强学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龄期儿童保健服务，促进医校协同，妇幼保健机构等医疗机构配合中小学校落实学生健康体检制度，聚焦贫血、肥胖、近视、心理异常、脊柱侧弯、龋齿等儿童主要健康问题，开展早筛查、早诊断、早治疗。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35.提升儿童急诊急救能力，健全院前、院内快速响应和衔接机制，畅通绿色通道。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36.根据患儿病情，建立分级救治流程，急危重症患儿“优先救治、后补手续”。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37.完善多学科诊疗制度，扩展多学科诊疗覆盖的专科和病种，提供多学科诊疗服务。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38.建立健全日间手术服务制度，拓展日间手术种类和数量。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39.加强中医儿科或中医儿童保健门诊建设，设置儿童中医诊疗区。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40.对中医诊疗特色突出、疗效确切的儿科疾病积极应用中医药方法进行诊疗。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41.设置小儿外治室。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42.对发热、咳嗽、鼻炎、食积、腹泻、遗尿等儿童常见病，推广应用小儿推拿、中药药浴、穴位贴敷等中医药适宜技术。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43.利用公众号、网站等新媒体开展线上科普。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44.结合儿童节、爱眼日、爱牙日、母乳喂养周等重要时间节点，开展线下宣传，普及儿童疾病防治知识。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45.妇幼保健机构加强孕妇学校、家长课堂建设，从生命起点普及科学知识。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46.基层医疗卫生机构结合家庭医生签约服务进社区、进家庭开展儿童健康教育，提升儿童及家长健康素养。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 w:val="restar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工作机制友好</w:t>
            </w: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</w:pPr>
          </w:p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工作机制友好</w:t>
            </w: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47.将建设儿童友好医院的目标和策略纳入医疗机构发展规划，成为医院文化的重要组成部分。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48.秉持儿童优先原则，将政策和资源优先用于儿童健康相关专科建设、人才培养和服务提供。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49.通过热线电话、网上留言等多元化方式，倾听儿童及家长意见建议，不断完善日常管理与服务。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50.门诊患儿家长满意度≥90%。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51.住院患儿家长满意度≥90%。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52.重视学科带头人及骨干人才培养，支持医务人员参加儿科医师转岗培训和儿童保健人员培训。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53.加强儿科、小儿外科以及儿童营养、眼保健、心理保健、口腔保健等专科人才培养，构建科学合理的儿童医疗保健人才梯队。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54.加强儿科建设，推动绩效工资分配向儿科倾斜。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55.经过住院医师规范化培训的儿科医师，在职称晋升和主治医师岗位聘用中给予适当倾斜。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★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56.提供儿童医疗保健服务的二级以上综合医院、中医医院、儿童医院、妇幼保健机构，以城市医疗集团、紧密型县域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共体、儿科专科联盟为载体，推动人员、技术、服务、管理等优质医疗资源下沉基层。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57.优化服务流程，畅通双向转诊渠道，围绕儿童医疗保健服务，二三级医院向基层医疗卫生机构预留一定比例专家号源、住院床位和预约检查等资源。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1100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58.基层医疗卫生机构借助上级医疗机构的支援帮扶，采取科室共建、联合门诊、专家工作室等方式，针对性加强儿科、儿童保健科等科室建设，提高基层同质化服务水平。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</w:tr>
      <w:tr w:rsidR="00887E29" w:rsidTr="0059741E">
        <w:trPr>
          <w:trHeight w:val="533"/>
          <w:jc w:val="center"/>
        </w:trPr>
        <w:tc>
          <w:tcPr>
            <w:tcW w:w="286" w:type="pct"/>
            <w:vMerge w:val="restar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4"/>
                <w:lang w:bidi="ar"/>
              </w:rPr>
              <w:t>社会支持友好</w:t>
            </w: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59.健全医务社工和志愿者服务制度。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vAlign w:val="center"/>
          </w:tcPr>
          <w:p w:rsidR="00887E29" w:rsidRDefault="00887E29" w:rsidP="0059741E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887E29" w:rsidTr="0059741E">
        <w:trPr>
          <w:trHeight w:val="816"/>
          <w:jc w:val="center"/>
        </w:trPr>
        <w:tc>
          <w:tcPr>
            <w:tcW w:w="286" w:type="pct"/>
            <w:vMerge/>
            <w:vAlign w:val="center"/>
          </w:tcPr>
          <w:p w:rsidR="00887E29" w:rsidRDefault="00887E29" w:rsidP="0059741E">
            <w:pPr>
              <w:jc w:val="center"/>
              <w:rPr>
                <w:rFonts w:ascii="楷体_GB2312" w:eastAsia="楷体_GB2312" w:hAnsi="宋体" w:cs="楷体_GB2312" w:hint="eastAsia"/>
                <w:b/>
                <w:color w:val="000000"/>
                <w:sz w:val="24"/>
              </w:rPr>
            </w:pPr>
          </w:p>
        </w:tc>
        <w:tc>
          <w:tcPr>
            <w:tcW w:w="2788" w:type="pct"/>
            <w:vAlign w:val="center"/>
          </w:tcPr>
          <w:p w:rsidR="00887E29" w:rsidRDefault="00887E29" w:rsidP="0059741E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60.加强医务社工和志愿者队伍建设，为患儿和家长提供病房陪伴、心理疏导、精神慰藉等服务。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0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337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269" w:type="pct"/>
            <w:vAlign w:val="center"/>
          </w:tcPr>
          <w:p w:rsidR="00887E29" w:rsidRDefault="00887E29" w:rsidP="005974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☆</w:t>
            </w:r>
          </w:p>
        </w:tc>
        <w:tc>
          <w:tcPr>
            <w:tcW w:w="536" w:type="pct"/>
            <w:noWrap/>
            <w:vAlign w:val="center"/>
          </w:tcPr>
          <w:p w:rsidR="00887E29" w:rsidRDefault="00887E29" w:rsidP="0059741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887E29" w:rsidRDefault="00887E29" w:rsidP="00887E29">
      <w:pPr>
        <w:widowControl/>
        <w:adjustRightInd w:val="0"/>
        <w:snapToGrid w:val="0"/>
        <w:spacing w:line="400" w:lineRule="exact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887E29" w:rsidRDefault="00887E29" w:rsidP="00887E29">
      <w:pPr>
        <w:widowControl/>
        <w:adjustRightInd w:val="0"/>
        <w:snapToGrid w:val="0"/>
        <w:spacing w:line="440" w:lineRule="exac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lastRenderedPageBreak/>
        <w:t>说明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：</w:t>
      </w:r>
    </w:p>
    <w:p w:rsidR="00887E29" w:rsidRDefault="00887E29" w:rsidP="00887E29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1.《儿童友好医院建设指南》从就医空间友好、健康服务友好、工作机制友好、社会支持友好四个维度，对医疗机构相关工作提出要求。</w:t>
      </w:r>
    </w:p>
    <w:p w:rsidR="00887E29" w:rsidRDefault="00887E29" w:rsidP="00887E29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2.表中标示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★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的条款为核心条款，标示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“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☆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”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的条款为基本条款，未标示的表示该项条款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对本类医疗机构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不作要求。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其中，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儿童医院核心条款1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项，基本条款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37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综合医院核心条款1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38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中医医院核心条款1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项，基本条款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36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；省级、地市级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妇幼保健机构核心条款1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项，基本条款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41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；县级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妇幼保健机构核心条款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项，基本条款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40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乡镇卫生院、社区卫生服务中心等基层医疗卫生机构核心条款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项，基本条款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26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项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。</w:t>
      </w:r>
    </w:p>
    <w:p w:rsidR="00887E29" w:rsidRDefault="00887E29" w:rsidP="00887E29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.儿童友好医院建设，每类医疗机构均需达到对应的全部核心条款。同时，儿童医院需达到29项以上基本条款，综合医院需达到30项以上基本条款，中医医院需达到28项以上基本条款，省级、地市级妇幼保健机构需达到33项以上基本条款，县级妇幼保健机构需达到32项以上基本条款，乡镇卫生院、社区卫生服务中心等基层医疗卫生机构需达到21项以上基本条款。</w:t>
      </w:r>
    </w:p>
    <w:p w:rsidR="00887E29" w:rsidRDefault="00887E29" w:rsidP="00887E29"/>
    <w:p w:rsidR="00C34961" w:rsidRPr="00887E29" w:rsidRDefault="00C34961"/>
    <w:sectPr w:rsidR="00C34961" w:rsidRPr="00887E2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ED" w:rsidRDefault="00915FED" w:rsidP="00887E29">
      <w:r>
        <w:separator/>
      </w:r>
    </w:p>
  </w:endnote>
  <w:endnote w:type="continuationSeparator" w:id="0">
    <w:p w:rsidR="00915FED" w:rsidRDefault="00915FED" w:rsidP="008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7E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15FE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7E2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915FE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7E2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ED" w:rsidRDefault="00915FED" w:rsidP="00887E29">
      <w:r>
        <w:separator/>
      </w:r>
    </w:p>
  </w:footnote>
  <w:footnote w:type="continuationSeparator" w:id="0">
    <w:p w:rsidR="00915FED" w:rsidRDefault="00915FED" w:rsidP="0088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52D6B"/>
    <w:multiLevelType w:val="singleLevel"/>
    <w:tmpl w:val="EEF52D6B"/>
    <w:lvl w:ilvl="0">
      <w:start w:val="29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D"/>
    <w:rsid w:val="00186AAD"/>
    <w:rsid w:val="00887E29"/>
    <w:rsid w:val="00915FED"/>
    <w:rsid w:val="00C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1805</Words>
  <Characters>2456</Characters>
  <Application>Microsoft Office Word</Application>
  <DocSecurity>0</DocSecurity>
  <Lines>163</Lines>
  <Paragraphs>266</Paragraphs>
  <ScaleCrop>false</ScaleCrop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2025-01-08T07:46:00Z</dcterms:created>
  <dcterms:modified xsi:type="dcterms:W3CDTF">2025-01-08T07:47:00Z</dcterms:modified>
</cp:coreProperties>
</file>