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方正仿宋简体" w:hAnsi="Nimbus Roman No9 L" w:hint="eastAsia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/>
          <w:kern w:val="0"/>
          <w:sz w:val="32"/>
          <w:szCs w:val="32"/>
        </w:rPr>
        <w:t>1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方正仿宋简体" w:hAnsi="Nimbus Roman No9 L"/>
          <w:kern w:val="0"/>
          <w:sz w:val="32"/>
          <w:szCs w:val="32"/>
        </w:rPr>
      </w:pPr>
    </w:p>
    <w:p w:rsidR="000778F5" w:rsidRDefault="000778F5" w:rsidP="000778F5">
      <w:pPr>
        <w:adjustRightInd w:val="0"/>
        <w:snapToGrid w:val="0"/>
        <w:spacing w:line="560" w:lineRule="exact"/>
        <w:jc w:val="center"/>
        <w:rPr>
          <w:rFonts w:ascii="Nimbus Roman No9 L" w:eastAsia="方正小标宋简体" w:hAnsi="Nimbus Roman No9 L" w:hint="eastAsia"/>
          <w:kern w:val="0"/>
          <w:sz w:val="44"/>
          <w:szCs w:val="44"/>
        </w:rPr>
      </w:pPr>
      <w:bookmarkStart w:id="0" w:name="_GoBack"/>
      <w:r>
        <w:rPr>
          <w:rFonts w:ascii="Nimbus Roman No9 L" w:eastAsia="方正小标宋简体" w:hAnsi="Nimbus Roman No9 L"/>
          <w:kern w:val="0"/>
          <w:sz w:val="44"/>
          <w:szCs w:val="44"/>
        </w:rPr>
        <w:t>202</w:t>
      </w:r>
      <w:r>
        <w:rPr>
          <w:rFonts w:ascii="Nimbus Roman No9 L" w:eastAsia="方正小标宋简体" w:hAnsi="Nimbus Roman No9 L" w:hint="eastAsia"/>
          <w:kern w:val="0"/>
          <w:sz w:val="44"/>
          <w:szCs w:val="44"/>
        </w:rPr>
        <w:t>4</w:t>
      </w:r>
      <w:r>
        <w:rPr>
          <w:rFonts w:ascii="Nimbus Roman No9 L" w:eastAsia="方正小标宋简体" w:hAnsi="Nimbus Roman No9 L"/>
          <w:kern w:val="0"/>
          <w:sz w:val="44"/>
          <w:szCs w:val="44"/>
        </w:rPr>
        <w:t>年自治区</w:t>
      </w:r>
      <w:r>
        <w:rPr>
          <w:rFonts w:ascii="Nimbus Roman No9 L" w:eastAsia="方正小标宋简体" w:hAnsi="Nimbus Roman No9 L" w:hint="eastAsia"/>
          <w:kern w:val="0"/>
          <w:sz w:val="44"/>
          <w:szCs w:val="44"/>
        </w:rPr>
        <w:t>药品临床综合评价</w:t>
      </w:r>
    </w:p>
    <w:p w:rsidR="000778F5" w:rsidRDefault="000778F5" w:rsidP="000778F5">
      <w:pPr>
        <w:adjustRightInd w:val="0"/>
        <w:snapToGrid w:val="0"/>
        <w:spacing w:line="560" w:lineRule="exact"/>
        <w:jc w:val="center"/>
        <w:rPr>
          <w:rFonts w:ascii="Nimbus Roman No9 L" w:eastAsia="方正小标宋简体" w:hAnsi="Nimbus Roman No9 L"/>
          <w:kern w:val="0"/>
          <w:sz w:val="44"/>
          <w:szCs w:val="44"/>
        </w:rPr>
      </w:pPr>
      <w:r>
        <w:rPr>
          <w:rFonts w:ascii="Nimbus Roman No9 L" w:eastAsia="方正小标宋简体" w:hAnsi="Nimbus Roman No9 L"/>
          <w:kern w:val="0"/>
          <w:sz w:val="44"/>
          <w:szCs w:val="44"/>
        </w:rPr>
        <w:t>项目申报指南</w:t>
      </w:r>
    </w:p>
    <w:bookmarkEnd w:id="0"/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方正黑体简体" w:hAnsi="Nimbus Roman No9 L"/>
          <w:kern w:val="0"/>
          <w:sz w:val="32"/>
          <w:szCs w:val="32"/>
        </w:rPr>
      </w:pPr>
    </w:p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方正黑体简体" w:hAnsi="Nimbus Roman No9 L" w:hint="eastAsia"/>
          <w:kern w:val="0"/>
          <w:sz w:val="32"/>
          <w:szCs w:val="32"/>
          <w:lang w:val="en"/>
        </w:rPr>
      </w:pPr>
      <w:r>
        <w:rPr>
          <w:rFonts w:ascii="Nimbus Roman No9 L" w:eastAsia="方正黑体简体" w:hAnsi="Nimbus Roman No9 L"/>
          <w:kern w:val="0"/>
          <w:sz w:val="32"/>
          <w:szCs w:val="32"/>
        </w:rPr>
        <w:t>一、</w:t>
      </w: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项目目标</w:t>
      </w:r>
    </w:p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为贯彻落实党中央、国务院关于健全药品供应保障制度的决策部署，立足我区实际，以药品临床价值为导向，围绕国家基本药物、仿制药、儿童药、新疆地产药等自主选题，多学科合作开展药品临床综合评价，为完善药物政策的制定，促进临床安全合理用药，建设我区药品临床综合评价人才梯队，促进药品供应保障高质量发展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 xml:space="preserve">    </w:t>
      </w: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二、</w:t>
      </w:r>
      <w:proofErr w:type="gramStart"/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拟支持</w:t>
      </w:r>
      <w:proofErr w:type="gramEnd"/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研究方向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（一）儿童用药的临床综合评价。</w:t>
      </w:r>
    </w:p>
    <w:p w:rsidR="000778F5" w:rsidRDefault="000778F5" w:rsidP="000778F5">
      <w:pPr>
        <w:adjustRightInd w:val="0"/>
        <w:snapToGrid w:val="0"/>
        <w:spacing w:line="560" w:lineRule="exact"/>
        <w:ind w:firstLine="640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根据《儿童药品临床综合评价技术指南（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2022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年版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试行）》，围绕儿童基本用药需求，充分汲取儿童白血病、哮喘、退热、抗菌、抗过敏等多个用药领域研究成果，结合本单位实际，聚焦儿童患者的特殊性，以用量大、治疗费用高的儿童药作为切入点，以真实世界数据研究为基础，结合文献、政策制度、药品说明书、专利等资料，科学规范开展儿童药品临床综合评价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（二）抗肿瘤用药的临床综合评价。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仿宋_GB2312" w:hAnsi="Nimbus Roman No9 L" w:cs="仿宋_GB2312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  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根据《抗肿瘤药品临床综合评价技术指南（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2022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年版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试行）》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lastRenderedPageBreak/>
        <w:t>重点聚焦我区抗肿瘤药在临床使用中存在的实际问题，如优化肿瘤患者临床用药策略、降低抗肿瘤患者使用药物的经济负担、提高抗肿瘤药物可及性等，充分利用临床真实世界数据</w:t>
      </w:r>
      <w:proofErr w:type="gramStart"/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与循证</w:t>
      </w:r>
      <w:proofErr w:type="gramEnd"/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医学证据，科学规范开展抗肿瘤用药的临床综合评价。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（三）慢性病用药的临床综合评价。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仿宋_GB2312" w:hAnsi="Nimbus Roman No9 L" w:cs="仿宋_GB2312"/>
          <w:kern w:val="0"/>
          <w:sz w:val="32"/>
          <w:szCs w:val="32"/>
          <w:lang w:val="en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  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根据《药品临床综合评价管理指南（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2021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年版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试行）》《心血管病药品临床综合评价技术指南（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2021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版）》等指南，从近年发病率高的慢性病药物治疗入手，如心脑血管疾病、慢性呼吸系统疾病、糖尿病等，结合区域内实际用药情况，针对性选择不同评价维度，科学规范开展慢性病用药的临床综合评价。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（四）我区高发病用药的临床综合评价。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仿宋_GB2312" w:hAnsi="Nimbus Roman No9 L" w:cs="仿宋_GB2312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  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根据《药品临床综合评价管理指南（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2021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年版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试行）》等指南，围绕区域重大疾病防治基本用药需求，结合本单位实际用药情况，聚焦药品临床实践中的政策问题和技术问题，收集利用药品临床使用证据资料，从安全性、有效性、经济性等维度科学规范开展数据整合分析与综合</w:t>
      </w:r>
      <w:proofErr w:type="gramStart"/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研</w:t>
      </w:r>
      <w:proofErr w:type="gramEnd"/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判，开展我区高发病用药的临床综合评价。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 xml:space="preserve">    （五）地方药的临床综合评价。</w:t>
      </w:r>
    </w:p>
    <w:p w:rsidR="000778F5" w:rsidRDefault="000778F5" w:rsidP="000778F5">
      <w:pPr>
        <w:adjustRightInd w:val="0"/>
        <w:snapToGrid w:val="0"/>
        <w:spacing w:line="560" w:lineRule="exact"/>
        <w:ind w:firstLine="640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根据《药品临床综合评价管理指南（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2021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年版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试行）》等指南，以名医工作室经验方或地方药作为主要研究对象，在充分利用药品使用监测数据的基础上，聚焦临床使用中的实际问题，针对性选择不同评价维度，科学规范开展地方药的临床综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lastRenderedPageBreak/>
        <w:t>合评价。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 xml:space="preserve">   （六）基于临床决策需求的药品临床综合评价。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 xml:space="preserve">  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在充分利用药品使用监测数据基础上，结合实际，开展以提高安全、合理用药，优化医疗机构采购目录，优化药品使用路径，控制药品费用不合理支出，优化上下级医疗机构用药衔接为目的的临床综合评价。例如集采药品</w:t>
      </w:r>
      <w:proofErr w:type="gramStart"/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与非集采</w:t>
      </w:r>
      <w:proofErr w:type="gramEnd"/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药品对比、原研药品与仿制药品对比、针对同一种药品的不同规格与不同剂型展开对比的临床综合评价等。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 xml:space="preserve">   （七）药品临床综合评价的方法学研究。</w:t>
      </w:r>
    </w:p>
    <w:p w:rsidR="000778F5" w:rsidRDefault="000778F5" w:rsidP="000778F5">
      <w:pPr>
        <w:adjustRightInd w:val="0"/>
        <w:snapToGrid w:val="0"/>
        <w:spacing w:line="560" w:lineRule="exact"/>
        <w:ind w:firstLine="640"/>
        <w:rPr>
          <w:rFonts w:ascii="Nimbus Roman No9 L" w:eastAsia="仿宋_GB2312" w:hAnsi="Nimbus Roman No9 L" w:cs="仿宋_GB2312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根据《国务院办公厅关于完善国家基本药物制度的意见》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《国务院关于进一步做好短缺药品保供稳价工作的意见》《国家卫生健康委关于开展药品使用监测和临床综合评价工作的通知》《药品临床综合评价管理指南（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2021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年版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试行）》等国家药物政策，结合基础积累、技术特长，以区域政策制定、建立民族药临床综合评价技术工具、方法体系和成果转化机制等研究方向为切入点，为制定我区药品生产供应、采购储备、流通使用、监测管理等药物政策，建立相关技术评估标准提供参考依据。</w:t>
      </w:r>
    </w:p>
    <w:p w:rsidR="000778F5" w:rsidRDefault="000778F5" w:rsidP="000778F5">
      <w:pPr>
        <w:adjustRightInd w:val="0"/>
        <w:snapToGrid w:val="0"/>
        <w:spacing w:line="560" w:lineRule="exact"/>
        <w:ind w:leftChars="200" w:left="420"/>
        <w:rPr>
          <w:rFonts w:ascii="Nimbus Roman No9 L" w:eastAsia="方正黑体简体" w:hAnsi="Nimbus Roman No9 L" w:hint="eastAsia"/>
          <w:kern w:val="0"/>
          <w:sz w:val="32"/>
          <w:szCs w:val="32"/>
        </w:rPr>
      </w:pP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 xml:space="preserve"> </w:t>
      </w: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三、研究方式及维度</w:t>
      </w:r>
    </w:p>
    <w:p w:rsidR="000778F5" w:rsidRDefault="000778F5" w:rsidP="000778F5">
      <w:pPr>
        <w:adjustRightInd w:val="0"/>
        <w:snapToGrid w:val="0"/>
        <w:spacing w:line="560" w:lineRule="exact"/>
        <w:ind w:firstLine="640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实施药品临床综合评价的机构要结合实际需要，充分利用卫生技术评估方法及药品使用监测工具，综合利用药品上市准入、大规模多中心临床试验结果、不良反应监测、医疗卫生机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lastRenderedPageBreak/>
        <w:t>构药品使用监测、药品临床实践真实世界数据以及国内外文献等资料。可采用多种方式方法，如问卷调查、专家咨询、文献调研、回顾性病例研究、真实世界数据研究、前瞻性队列研究、临床试验等。以《药品临床综合评价管理指南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2021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试行）》中的六个维度为研究方向，可根据药品特点和临床实际需求等进行调整，选择单维度或多维度，整体研究以安全性、有效性、经济性为核心。</w:t>
      </w:r>
    </w:p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方正黑体简体" w:hAnsi="Nimbus Roman No9 L" w:hint="eastAsia"/>
          <w:kern w:val="0"/>
          <w:sz w:val="32"/>
          <w:szCs w:val="32"/>
        </w:rPr>
      </w:pP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四、支持经费及时限</w:t>
      </w:r>
    </w:p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 w:hint="eastAsia"/>
          <w:kern w:val="0"/>
          <w:sz w:val="32"/>
          <w:szCs w:val="32"/>
        </w:rPr>
      </w:pPr>
      <w:proofErr w:type="gramStart"/>
      <w:r>
        <w:rPr>
          <w:rFonts w:ascii="Nimbus Roman No9 L" w:eastAsia="仿宋_GB2312" w:hAnsi="Nimbus Roman No9 L" w:hint="eastAsia"/>
          <w:kern w:val="0"/>
          <w:sz w:val="32"/>
          <w:szCs w:val="32"/>
        </w:rPr>
        <w:t>拟支持</w:t>
      </w:r>
      <w:proofErr w:type="gramEnd"/>
      <w:r>
        <w:rPr>
          <w:rFonts w:ascii="Nimbus Roman No9 L" w:eastAsia="仿宋_GB2312" w:hAnsi="Nimbus Roman No9 L" w:hint="eastAsia"/>
          <w:kern w:val="0"/>
          <w:sz w:val="32"/>
          <w:szCs w:val="32"/>
        </w:rPr>
        <w:t>项目直接费用的平均强度约为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1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万元。</w:t>
      </w:r>
    </w:p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color w:val="0C0C0C"/>
          <w:kern w:val="0"/>
          <w:sz w:val="32"/>
          <w:szCs w:val="32"/>
        </w:rPr>
        <w:t>课题研究期限不超过</w:t>
      </w:r>
      <w:r>
        <w:rPr>
          <w:rFonts w:ascii="Nimbus Roman No9 L" w:eastAsia="仿宋_GB2312" w:hAnsi="Nimbus Roman No9 L" w:hint="eastAsia"/>
          <w:color w:val="0C0C0C"/>
          <w:kern w:val="0"/>
          <w:sz w:val="32"/>
          <w:szCs w:val="32"/>
        </w:rPr>
        <w:t>2</w:t>
      </w:r>
      <w:r>
        <w:rPr>
          <w:rFonts w:ascii="Nimbus Roman No9 L" w:eastAsia="仿宋_GB2312" w:hAnsi="Nimbus Roman No9 L" w:hint="eastAsia"/>
          <w:color w:val="0C0C0C"/>
          <w:kern w:val="0"/>
          <w:sz w:val="32"/>
          <w:szCs w:val="32"/>
        </w:rPr>
        <w:t>年，申请书研究</w:t>
      </w:r>
      <w:r>
        <w:rPr>
          <w:rFonts w:ascii="Nimbus Roman No9 L" w:eastAsia="仿宋_GB2312" w:hAnsi="Nimbus Roman No9 L"/>
          <w:kern w:val="0"/>
          <w:sz w:val="32"/>
          <w:szCs w:val="32"/>
        </w:rPr>
        <w:t>起始时间为</w:t>
      </w:r>
      <w:r>
        <w:rPr>
          <w:rFonts w:ascii="Nimbus Roman No9 L" w:eastAsia="仿宋_GB2312" w:hAnsi="Nimbus Roman No9 L"/>
          <w:kern w:val="0"/>
          <w:sz w:val="32"/>
          <w:szCs w:val="32"/>
        </w:rPr>
        <w:t>202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4</w:t>
      </w:r>
      <w:r>
        <w:rPr>
          <w:rFonts w:ascii="Nimbus Roman No9 L" w:eastAsia="仿宋_GB2312" w:hAnsi="Nimbus Roman No9 L"/>
          <w:kern w:val="0"/>
          <w:sz w:val="32"/>
          <w:szCs w:val="32"/>
        </w:rPr>
        <w:t>年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8</w:t>
      </w:r>
      <w:r>
        <w:rPr>
          <w:rFonts w:ascii="Nimbus Roman No9 L" w:eastAsia="仿宋_GB2312" w:hAnsi="Nimbus Roman No9 L"/>
          <w:kern w:val="0"/>
          <w:sz w:val="32"/>
          <w:szCs w:val="32"/>
        </w:rPr>
        <w:t>月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1</w:t>
      </w:r>
      <w:r>
        <w:rPr>
          <w:rFonts w:ascii="Nimbus Roman No9 L" w:eastAsia="仿宋_GB2312" w:hAnsi="Nimbus Roman No9 L"/>
          <w:kern w:val="0"/>
          <w:sz w:val="32"/>
          <w:szCs w:val="32"/>
        </w:rPr>
        <w:t>日，结束时间原则不超过</w:t>
      </w:r>
      <w:r>
        <w:rPr>
          <w:rFonts w:ascii="Nimbus Roman No9 L" w:eastAsia="仿宋_GB2312" w:hAnsi="Nimbus Roman No9 L"/>
          <w:kern w:val="0"/>
          <w:sz w:val="32"/>
          <w:szCs w:val="32"/>
        </w:rPr>
        <w:t>202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6</w:t>
      </w:r>
      <w:r>
        <w:rPr>
          <w:rFonts w:ascii="Nimbus Roman No9 L" w:eastAsia="仿宋_GB2312" w:hAnsi="Nimbus Roman No9 L"/>
          <w:kern w:val="0"/>
          <w:sz w:val="32"/>
          <w:szCs w:val="32"/>
        </w:rPr>
        <w:t>年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8</w:t>
      </w:r>
      <w:r>
        <w:rPr>
          <w:rFonts w:ascii="Nimbus Roman No9 L" w:eastAsia="仿宋_GB2312" w:hAnsi="Nimbus Roman No9 L"/>
          <w:kern w:val="0"/>
          <w:sz w:val="32"/>
          <w:szCs w:val="32"/>
        </w:rPr>
        <w:t>月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1</w:t>
      </w:r>
      <w:r>
        <w:rPr>
          <w:rFonts w:ascii="Nimbus Roman No9 L" w:eastAsia="仿宋_GB2312" w:hAnsi="Nimbus Roman No9 L"/>
          <w:kern w:val="0"/>
          <w:sz w:val="32"/>
          <w:szCs w:val="32"/>
        </w:rPr>
        <w:t>日。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方正黑体简体" w:hAnsi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 xml:space="preserve">    </w:t>
      </w: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五、项目申报要求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仿宋_GB2312" w:hAnsi="Nimbus Roman No9 L" w:hint="eastAsia"/>
          <w:color w:val="0C0C0C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color w:val="0C0C0C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color w:val="0C0C0C"/>
          <w:kern w:val="0"/>
          <w:sz w:val="32"/>
          <w:szCs w:val="32"/>
        </w:rPr>
        <w:t>（一）申请条件。</w:t>
      </w:r>
    </w:p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 w:hint="eastAsia"/>
          <w:color w:val="0C0C0C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color w:val="0C0C0C"/>
          <w:kern w:val="0"/>
          <w:sz w:val="32"/>
          <w:szCs w:val="32"/>
        </w:rPr>
        <w:t>项目申请人应当具备以下条件：</w:t>
      </w:r>
    </w:p>
    <w:p w:rsidR="000778F5" w:rsidRDefault="000778F5" w:rsidP="000778F5">
      <w:pPr>
        <w:adjustRightInd w:val="0"/>
        <w:snapToGrid w:val="0"/>
        <w:spacing w:line="560" w:lineRule="exact"/>
        <w:ind w:firstLine="640"/>
        <w:jc w:val="left"/>
        <w:rPr>
          <w:rFonts w:ascii="Nimbus Roman No9 L" w:eastAsia="仿宋_GB2312" w:hAnsi="Nimbus Roman No9 L" w:cs="仿宋_GB2312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1.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政治立场坚定，热爱祖国，维护祖国统一，维护民族团结；</w:t>
      </w:r>
    </w:p>
    <w:p w:rsidR="000778F5" w:rsidRDefault="000778F5" w:rsidP="000778F5">
      <w:pPr>
        <w:adjustRightInd w:val="0"/>
        <w:snapToGrid w:val="0"/>
        <w:spacing w:line="560" w:lineRule="exact"/>
        <w:ind w:firstLine="640"/>
        <w:jc w:val="left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2.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具有从事基础或临床研究的经历；</w:t>
      </w:r>
    </w:p>
    <w:p w:rsidR="000778F5" w:rsidRDefault="000778F5" w:rsidP="000778F5">
      <w:pPr>
        <w:adjustRightInd w:val="0"/>
        <w:snapToGrid w:val="0"/>
        <w:spacing w:line="560" w:lineRule="exact"/>
        <w:ind w:firstLine="640"/>
        <w:jc w:val="left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3.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具有中级职称或具有硕士及以上学位；</w:t>
      </w:r>
    </w:p>
    <w:p w:rsidR="000778F5" w:rsidRDefault="000778F5" w:rsidP="000778F5">
      <w:pPr>
        <w:adjustRightInd w:val="0"/>
        <w:snapToGrid w:val="0"/>
        <w:spacing w:line="560" w:lineRule="exact"/>
        <w:ind w:firstLine="640"/>
        <w:jc w:val="left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4.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项目负责人年龄在项目结束时原则上不超过退休年龄；</w:t>
      </w:r>
    </w:p>
    <w:p w:rsidR="000778F5" w:rsidRDefault="000778F5" w:rsidP="000778F5">
      <w:pPr>
        <w:adjustRightInd w:val="0"/>
        <w:snapToGrid w:val="0"/>
        <w:spacing w:line="560" w:lineRule="exact"/>
        <w:ind w:firstLine="640"/>
        <w:jc w:val="left"/>
        <w:rPr>
          <w:rFonts w:ascii="Nimbus Roman No9 L" w:eastAsia="仿宋_GB2312" w:hAnsi="Nimbus Roman No9 L" w:cs="仿宋_GB2312"/>
          <w:kern w:val="0"/>
          <w:sz w:val="32"/>
          <w:szCs w:val="32"/>
          <w:lang w:val="en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5.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申请人应当是主持单位的全职工作人员</w:t>
      </w:r>
      <w:r>
        <w:rPr>
          <w:rFonts w:ascii="Nimbus Roman No9 L" w:eastAsia="仿宋_GB2312" w:hAnsi="Nimbus Roman No9 L" w:cs="仿宋_GB2312"/>
          <w:kern w:val="0"/>
          <w:sz w:val="32"/>
          <w:szCs w:val="32"/>
          <w:lang w:val="en"/>
        </w:rPr>
        <w:t>;</w:t>
      </w:r>
    </w:p>
    <w:p w:rsidR="000778F5" w:rsidRDefault="000778F5" w:rsidP="000778F5">
      <w:pPr>
        <w:adjustRightInd w:val="0"/>
        <w:snapToGrid w:val="0"/>
        <w:spacing w:line="560" w:lineRule="exact"/>
        <w:ind w:firstLine="640"/>
        <w:jc w:val="left"/>
        <w:rPr>
          <w:rFonts w:ascii="Nimbus Roman No9 L" w:eastAsia="仿宋_GB2312" w:hAnsi="Nimbus Roman No9 L" w:cs="仿宋_GB2312"/>
          <w:kern w:val="0"/>
          <w:sz w:val="32"/>
          <w:szCs w:val="32"/>
          <w:lang w:val="en"/>
        </w:rPr>
      </w:pPr>
      <w:r>
        <w:rPr>
          <w:rFonts w:ascii="Nimbus Roman No9 L" w:eastAsia="仿宋_GB2312" w:hAnsi="Nimbus Roman No9 L" w:cs="仿宋_GB2312"/>
          <w:kern w:val="0"/>
          <w:sz w:val="32"/>
          <w:szCs w:val="32"/>
          <w:lang w:val="en"/>
        </w:rPr>
        <w:t>6.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  <w:lang w:val="en"/>
        </w:rPr>
        <w:t>医疗机构外的科研院所、大专院校、行业学（协）会等相关机构的从事药学相关工作人员，在我区依法注册、具有独立民事能力、征信状况良好，具有开展药品临床综合评价专业能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  <w:lang w:val="en"/>
        </w:rPr>
        <w:lastRenderedPageBreak/>
        <w:t>力和工作基础的，可联合医疗机构开展药品临床综合评价。</w:t>
      </w:r>
    </w:p>
    <w:p w:rsidR="000778F5" w:rsidRDefault="000778F5" w:rsidP="000778F5">
      <w:pPr>
        <w:adjustRightInd w:val="0"/>
        <w:snapToGrid w:val="0"/>
        <w:spacing w:line="560" w:lineRule="exact"/>
        <w:jc w:val="left"/>
        <w:rPr>
          <w:rFonts w:ascii="Nimbus Roman No9 L" w:eastAsia="仿宋_GB2312" w:hAnsi="Nimbus Roman No9 L"/>
          <w:color w:val="0C0C0C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color w:val="0C0C0C"/>
          <w:kern w:val="0"/>
          <w:sz w:val="32"/>
          <w:szCs w:val="32"/>
        </w:rPr>
        <w:t>（二）申报限制。</w:t>
      </w:r>
    </w:p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>1.</w:t>
      </w:r>
      <w:r>
        <w:rPr>
          <w:rFonts w:ascii="Nimbus Roman No9 L" w:eastAsia="仿宋_GB2312" w:hAnsi="Nimbus Roman No9 L"/>
          <w:kern w:val="0"/>
          <w:sz w:val="32"/>
          <w:szCs w:val="32"/>
        </w:rPr>
        <w:t>每个项目申报单位申报的项目数不得超过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2</w:t>
      </w:r>
      <w:r>
        <w:rPr>
          <w:rFonts w:ascii="Nimbus Roman No9 L" w:eastAsia="仿宋_GB2312" w:hAnsi="Nimbus Roman No9 L"/>
          <w:kern w:val="0"/>
          <w:sz w:val="32"/>
          <w:szCs w:val="32"/>
        </w:rPr>
        <w:t>项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（</w:t>
      </w:r>
      <w:r>
        <w:rPr>
          <w:rFonts w:ascii="Nimbus Roman No9 L" w:eastAsia="仿宋_GB2312" w:hAnsi="Nimbus Roman No9 L"/>
          <w:kern w:val="0"/>
          <w:sz w:val="32"/>
          <w:szCs w:val="32"/>
        </w:rPr>
        <w:t>含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2</w:t>
      </w:r>
      <w:r>
        <w:rPr>
          <w:rFonts w:ascii="Nimbus Roman No9 L" w:eastAsia="仿宋_GB2312" w:hAnsi="Nimbus Roman No9 L"/>
          <w:kern w:val="0"/>
          <w:sz w:val="32"/>
          <w:szCs w:val="32"/>
        </w:rPr>
        <w:t>项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）</w:t>
      </w:r>
      <w:r>
        <w:rPr>
          <w:rFonts w:ascii="Nimbus Roman No9 L" w:eastAsia="仿宋_GB2312" w:hAnsi="Nimbus Roman No9 L"/>
          <w:kern w:val="0"/>
          <w:sz w:val="32"/>
          <w:szCs w:val="32"/>
        </w:rPr>
        <w:t>；</w:t>
      </w:r>
    </w:p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>2.</w:t>
      </w:r>
      <w:r>
        <w:rPr>
          <w:rFonts w:ascii="Nimbus Roman No9 L" w:eastAsia="仿宋_GB2312" w:hAnsi="Nimbus Roman No9 L"/>
          <w:kern w:val="0"/>
          <w:sz w:val="32"/>
          <w:szCs w:val="32"/>
        </w:rPr>
        <w:t>每位项目申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报</w:t>
      </w:r>
      <w:r>
        <w:rPr>
          <w:rFonts w:ascii="Nimbus Roman No9 L" w:eastAsia="仿宋_GB2312" w:hAnsi="Nimbus Roman No9 L"/>
          <w:kern w:val="0"/>
          <w:sz w:val="32"/>
          <w:szCs w:val="32"/>
        </w:rPr>
        <w:t>人仅限申报</w:t>
      </w:r>
      <w:r>
        <w:rPr>
          <w:rFonts w:ascii="Nimbus Roman No9 L" w:eastAsia="仿宋_GB2312" w:hAnsi="Nimbus Roman No9 L"/>
          <w:kern w:val="0"/>
          <w:sz w:val="32"/>
          <w:szCs w:val="32"/>
        </w:rPr>
        <w:t>1</w:t>
      </w:r>
      <w:r>
        <w:rPr>
          <w:rFonts w:ascii="Nimbus Roman No9 L" w:eastAsia="仿宋_GB2312" w:hAnsi="Nimbus Roman No9 L"/>
          <w:kern w:val="0"/>
          <w:sz w:val="32"/>
          <w:szCs w:val="32"/>
        </w:rPr>
        <w:t>个项目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；</w:t>
      </w:r>
    </w:p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 w:hint="eastAsia"/>
          <w:color w:val="FF0000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>3.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已立项的同一内容研究；</w:t>
      </w:r>
    </w:p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>4.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项目申报单位、合作单位、研究团队成员</w:t>
      </w:r>
      <w:proofErr w:type="gramStart"/>
      <w:r>
        <w:rPr>
          <w:rFonts w:ascii="Nimbus Roman No9 L" w:eastAsia="仿宋_GB2312" w:hAnsi="Nimbus Roman No9 L" w:hint="eastAsia"/>
          <w:kern w:val="0"/>
          <w:sz w:val="32"/>
          <w:szCs w:val="32"/>
        </w:rPr>
        <w:t>无科研</w:t>
      </w:r>
      <w:proofErr w:type="gramEnd"/>
      <w:r>
        <w:rPr>
          <w:rFonts w:ascii="Nimbus Roman No9 L" w:eastAsia="仿宋_GB2312" w:hAnsi="Nimbus Roman No9 L" w:hint="eastAsia"/>
          <w:kern w:val="0"/>
          <w:sz w:val="32"/>
          <w:szCs w:val="32"/>
        </w:rPr>
        <w:t>失信行为或相关社会领域失信记录。</w:t>
      </w:r>
    </w:p>
    <w:p w:rsidR="000778F5" w:rsidRDefault="000778F5" w:rsidP="000778F5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申报时限。</w:t>
      </w:r>
    </w:p>
    <w:p w:rsidR="000778F5" w:rsidRDefault="000778F5" w:rsidP="000778F5">
      <w:pPr>
        <w:adjustRightInd w:val="0"/>
        <w:snapToGrid w:val="0"/>
        <w:spacing w:line="560" w:lineRule="exact"/>
        <w:ind w:firstLine="640"/>
        <w:rPr>
          <w:rFonts w:ascii="Nimbus Roman No9 L" w:eastAsia="仿宋_GB2312" w:hAnsi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>申报时间为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2024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年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7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月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1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日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-2024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年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7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月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10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日。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方正黑体简体" w:hAnsi="Nimbus Roman No9 L" w:hint="eastAsia"/>
          <w:kern w:val="0"/>
          <w:sz w:val="32"/>
          <w:szCs w:val="32"/>
        </w:rPr>
      </w:pP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 xml:space="preserve">    </w:t>
      </w: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六、申报程序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仿宋_GB2312" w:hAnsi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（一）发布指南。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由自治区卫生健康委印发申报通知。</w:t>
      </w:r>
    </w:p>
    <w:p w:rsidR="000778F5" w:rsidRDefault="000778F5" w:rsidP="000778F5">
      <w:pPr>
        <w:adjustRightInd w:val="0"/>
        <w:snapToGrid w:val="0"/>
        <w:spacing w:line="560" w:lineRule="exact"/>
        <w:ind w:left="640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（二）个人申报。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项目申报人通过本人所在单位申报。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（三）单位审核。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项目主持单位按照申报指南，遴选推荐项目。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（四）主管部门推荐。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地（州、市）卫生健康委对所辖单位提交的申报材料初步审核、对审核通过的项目进行推荐；委直属直管单位、自治区级单位向自治区卫生健康委提交材料。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仿宋_GB2312" w:hAnsi="Nimbus Roman No9 L" w:hint="eastAsia"/>
          <w:color w:val="FF0000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color w:val="FF0000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（五）专家评审。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自治区卫生健康委组织专家对推荐项目进行立项评审。</w:t>
      </w:r>
    </w:p>
    <w:p w:rsidR="000778F5" w:rsidRDefault="000778F5" w:rsidP="000778F5">
      <w:pPr>
        <w:adjustRightInd w:val="0"/>
        <w:snapToGrid w:val="0"/>
        <w:spacing w:line="560" w:lineRule="exact"/>
        <w:rPr>
          <w:rFonts w:ascii="Nimbus Roman No9 L" w:eastAsia="仿宋_GB2312" w:hAnsi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color w:val="FF0000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（六）项目立项。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自治区卫生健康委根据有关规定和专家评审会议结果，结合自治区药品供应保障体系建设规划和工作实际拟定立项名单，提请自治区卫生健康委党组会议审议通过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后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在官网公示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公示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5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个工作日无异议后印发立项通知。</w:t>
      </w:r>
    </w:p>
    <w:p w:rsidR="000778F5" w:rsidRDefault="000778F5" w:rsidP="000778F5">
      <w:pPr>
        <w:adjustRightInd w:val="0"/>
        <w:snapToGrid w:val="0"/>
        <w:spacing w:line="560" w:lineRule="exact"/>
        <w:ind w:firstLine="640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（七）签订合同。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项目负责人收到立项通知后，签订自治区药品临床综合评价项目合同书。</w:t>
      </w:r>
    </w:p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方正黑体简体" w:hAnsi="Nimbus Roman No9 L"/>
          <w:kern w:val="0"/>
          <w:sz w:val="32"/>
          <w:szCs w:val="32"/>
        </w:rPr>
      </w:pP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七</w:t>
      </w:r>
      <w:r>
        <w:rPr>
          <w:rFonts w:ascii="Nimbus Roman No9 L" w:eastAsia="方正黑体简体" w:hAnsi="Nimbus Roman No9 L"/>
          <w:kern w:val="0"/>
          <w:sz w:val="32"/>
          <w:szCs w:val="32"/>
        </w:rPr>
        <w:t>、报送材料</w:t>
      </w:r>
    </w:p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Nimbus Roman No9 L" w:eastAsia="仿宋_GB2312" w:hAnsi="Nimbus Roman No9 L"/>
          <w:kern w:val="0"/>
          <w:sz w:val="32"/>
          <w:szCs w:val="32"/>
        </w:rPr>
        <w:t>（一）项目申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报</w:t>
      </w:r>
      <w:r>
        <w:rPr>
          <w:rFonts w:ascii="Nimbus Roman No9 L" w:eastAsia="仿宋_GB2312" w:hAnsi="Nimbus Roman No9 L"/>
          <w:kern w:val="0"/>
          <w:sz w:val="32"/>
          <w:szCs w:val="32"/>
        </w:rPr>
        <w:t>书及有关材料一式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3</w:t>
      </w:r>
      <w:r>
        <w:rPr>
          <w:rFonts w:ascii="Nimbus Roman No9 L" w:eastAsia="仿宋_GB2312" w:hAnsi="Nimbus Roman No9 L"/>
          <w:kern w:val="0"/>
          <w:sz w:val="32"/>
          <w:szCs w:val="32"/>
        </w:rPr>
        <w:t>份。</w:t>
      </w:r>
    </w:p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Nimbus Roman No9 L" w:eastAsia="仿宋_GB2312" w:hAnsi="Nimbus Roman No9 L"/>
          <w:kern w:val="0"/>
          <w:sz w:val="32"/>
          <w:szCs w:val="32"/>
        </w:rPr>
        <w:t>（二）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委直属直管单位、</w:t>
      </w:r>
      <w:r>
        <w:rPr>
          <w:rFonts w:ascii="Nimbus Roman No9 L" w:eastAsia="仿宋_GB2312" w:hAnsi="Nimbus Roman No9 L"/>
          <w:sz w:val="32"/>
          <w:szCs w:val="32"/>
        </w:rPr>
        <w:t>各</w:t>
      </w:r>
      <w:r>
        <w:rPr>
          <w:rFonts w:ascii="Nimbus Roman No9 L" w:eastAsia="仿宋_GB2312" w:hAnsi="Nimbus Roman No9 L" w:hint="eastAsia"/>
          <w:sz w:val="32"/>
          <w:szCs w:val="32"/>
        </w:rPr>
        <w:t>地（州、市）卫生健康委</w:t>
      </w:r>
      <w:r>
        <w:rPr>
          <w:rFonts w:ascii="Nimbus Roman No9 L" w:eastAsia="仿宋_GB2312" w:hAnsi="Nimbus Roman No9 L"/>
          <w:sz w:val="32"/>
          <w:szCs w:val="32"/>
        </w:rPr>
        <w:t>负责对本单位或</w:t>
      </w:r>
      <w:r>
        <w:rPr>
          <w:rFonts w:ascii="Nimbus Roman No9 L" w:eastAsia="仿宋_GB2312" w:hAnsi="Nimbus Roman No9 L" w:hint="eastAsia"/>
          <w:sz w:val="32"/>
          <w:szCs w:val="32"/>
        </w:rPr>
        <w:t>辖区机构</w:t>
      </w:r>
      <w:r>
        <w:rPr>
          <w:rFonts w:ascii="Nimbus Roman No9 L" w:eastAsia="仿宋_GB2312" w:hAnsi="Nimbus Roman No9 L"/>
          <w:sz w:val="32"/>
          <w:szCs w:val="32"/>
        </w:rPr>
        <w:t>申报的项目按规定进行</w:t>
      </w:r>
      <w:r>
        <w:rPr>
          <w:rFonts w:ascii="Nimbus Roman No9 L" w:eastAsia="仿宋_GB2312" w:hAnsi="Nimbus Roman No9 L" w:hint="eastAsia"/>
          <w:sz w:val="32"/>
          <w:szCs w:val="32"/>
        </w:rPr>
        <w:t>遴选推荐</w:t>
      </w:r>
      <w:r>
        <w:rPr>
          <w:rFonts w:ascii="Nimbus Roman No9 L" w:eastAsia="仿宋_GB2312" w:hAnsi="Nimbus Roman No9 L"/>
          <w:sz w:val="32"/>
          <w:szCs w:val="32"/>
        </w:rPr>
        <w:t>汇总，</w:t>
      </w:r>
      <w:r>
        <w:rPr>
          <w:rFonts w:ascii="Nimbus Roman No9 L" w:eastAsia="仿宋_GB2312" w:hAnsi="Nimbus Roman No9 L"/>
          <w:kern w:val="0"/>
          <w:sz w:val="32"/>
          <w:szCs w:val="32"/>
        </w:rPr>
        <w:t>并将项目申报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相关材料</w:t>
      </w:r>
      <w:r>
        <w:rPr>
          <w:rFonts w:ascii="Nimbus Roman No9 L" w:eastAsia="仿宋_GB2312" w:hAnsi="Nimbus Roman No9 L"/>
          <w:kern w:val="0"/>
          <w:sz w:val="32"/>
          <w:szCs w:val="32"/>
        </w:rPr>
        <w:t>报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自治区卫生健康</w:t>
      </w:r>
      <w:r>
        <w:rPr>
          <w:rFonts w:ascii="Nimbus Roman No9 L" w:eastAsia="仿宋_GB2312" w:hAnsi="Nimbus Roman No9 L"/>
          <w:kern w:val="0"/>
          <w:sz w:val="32"/>
          <w:szCs w:val="32"/>
        </w:rPr>
        <w:t>委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药政处</w:t>
      </w:r>
      <w:r>
        <w:rPr>
          <w:rFonts w:ascii="Nimbus Roman No9 L" w:eastAsia="仿宋_GB2312" w:hAnsi="Nimbus Roman No9 L"/>
          <w:kern w:val="0"/>
          <w:sz w:val="32"/>
          <w:szCs w:val="32"/>
        </w:rPr>
        <w:t>，电子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版</w:t>
      </w:r>
      <w:r>
        <w:rPr>
          <w:rFonts w:ascii="Nimbus Roman No9 L" w:eastAsia="仿宋_GB2312" w:hAnsi="Nimbus Roman No9 L"/>
          <w:kern w:val="0"/>
          <w:sz w:val="32"/>
          <w:szCs w:val="32"/>
        </w:rPr>
        <w:t>发至指定邮箱。</w:t>
      </w:r>
    </w:p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方正黑体简体" w:hAnsi="Nimbus Roman No9 L" w:hint="eastAsia"/>
          <w:kern w:val="0"/>
          <w:sz w:val="32"/>
          <w:szCs w:val="32"/>
        </w:rPr>
      </w:pP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八、其他要求</w:t>
      </w:r>
    </w:p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>项目主持单位及申报人须分别签署诚信承诺书，项目主持单位要加强申报材料审核把关，杜绝信息不实，弄虚作假。</w:t>
      </w:r>
    </w:p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 w:hint="eastAsia"/>
          <w:kern w:val="0"/>
          <w:sz w:val="32"/>
          <w:szCs w:val="32"/>
        </w:rPr>
      </w:pPr>
    </w:p>
    <w:p w:rsidR="000778F5" w:rsidRDefault="000778F5" w:rsidP="000778F5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/>
          <w:kern w:val="0"/>
          <w:sz w:val="32"/>
          <w:szCs w:val="32"/>
        </w:rPr>
      </w:pPr>
    </w:p>
    <w:p w:rsidR="000778F5" w:rsidRDefault="000778F5" w:rsidP="000778F5">
      <w:pPr>
        <w:spacing w:line="560" w:lineRule="exact"/>
        <w:rPr>
          <w:rFonts w:ascii="Nimbus Roman No9 L" w:eastAsia="仿宋_GB2312" w:hAnsi="Nimbus Roman No9 L"/>
          <w:kern w:val="0"/>
          <w:sz w:val="32"/>
          <w:szCs w:val="32"/>
        </w:rPr>
      </w:pPr>
    </w:p>
    <w:p w:rsidR="000778F5" w:rsidRDefault="000778F5" w:rsidP="000778F5">
      <w:pPr>
        <w:spacing w:line="560" w:lineRule="exact"/>
        <w:rPr>
          <w:rFonts w:ascii="Nimbus Roman No9 L" w:eastAsia="仿宋_GB2312" w:hAnsi="Nimbus Roman No9 L"/>
          <w:kern w:val="0"/>
          <w:sz w:val="32"/>
          <w:szCs w:val="32"/>
        </w:rPr>
      </w:pPr>
    </w:p>
    <w:p w:rsidR="000778F5" w:rsidRDefault="000778F5" w:rsidP="000778F5">
      <w:pPr>
        <w:spacing w:line="560" w:lineRule="exact"/>
        <w:rPr>
          <w:rFonts w:ascii="Nimbus Roman No9 L" w:eastAsia="仿宋_GB2312" w:hAnsi="Nimbus Roman No9 L"/>
          <w:kern w:val="0"/>
          <w:sz w:val="32"/>
          <w:szCs w:val="32"/>
        </w:rPr>
      </w:pPr>
    </w:p>
    <w:p w:rsidR="000778F5" w:rsidRDefault="000778F5" w:rsidP="000778F5">
      <w:pPr>
        <w:spacing w:line="560" w:lineRule="exact"/>
        <w:rPr>
          <w:rFonts w:ascii="Nimbus Roman No9 L" w:eastAsia="仿宋_GB2312" w:hAnsi="Nimbus Roman No9 L"/>
          <w:kern w:val="0"/>
          <w:sz w:val="32"/>
          <w:szCs w:val="32"/>
        </w:rPr>
      </w:pPr>
    </w:p>
    <w:p w:rsidR="000778F5" w:rsidRDefault="000778F5" w:rsidP="000778F5">
      <w:pPr>
        <w:spacing w:line="560" w:lineRule="exact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 xml:space="preserve">   </w:t>
      </w:r>
    </w:p>
    <w:p w:rsidR="000778F5" w:rsidRDefault="000778F5" w:rsidP="000778F5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  <w:lang w:val="en"/>
        </w:rPr>
      </w:pPr>
    </w:p>
    <w:p w:rsidR="000778F5" w:rsidRDefault="000778F5" w:rsidP="000778F5">
      <w:pPr>
        <w:adjustRightInd w:val="0"/>
        <w:snapToGrid w:val="0"/>
        <w:spacing w:line="560" w:lineRule="exact"/>
        <w:rPr>
          <w:rFonts w:ascii="Times New Roman" w:eastAsia="方正黑体_GBK" w:hAnsi="Times New Roman"/>
          <w:kern w:val="0"/>
          <w:sz w:val="32"/>
          <w:szCs w:val="32"/>
        </w:rPr>
      </w:pPr>
    </w:p>
    <w:p w:rsidR="000778F5" w:rsidRDefault="000778F5" w:rsidP="000778F5">
      <w:pPr>
        <w:adjustRightInd w:val="0"/>
        <w:snapToGrid w:val="0"/>
        <w:spacing w:line="560" w:lineRule="exact"/>
        <w:rPr>
          <w:rFonts w:ascii="Times New Roman" w:eastAsia="方正黑体_GBK" w:hAnsi="Times New Roman"/>
          <w:kern w:val="0"/>
          <w:sz w:val="32"/>
          <w:szCs w:val="32"/>
        </w:rPr>
      </w:pPr>
    </w:p>
    <w:p w:rsidR="007E40FC" w:rsidRPr="000778F5" w:rsidRDefault="007E40FC"/>
    <w:sectPr w:rsidR="007E40FC" w:rsidRPr="000778F5">
      <w:headerReference w:type="default" r:id="rId8"/>
      <w:footerReference w:type="default" r:id="rId9"/>
      <w:pgSz w:w="11906" w:h="16838"/>
      <w:pgMar w:top="2098" w:right="1587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9B" w:rsidRDefault="006F539B" w:rsidP="000778F5">
      <w:r>
        <w:separator/>
      </w:r>
    </w:p>
  </w:endnote>
  <w:endnote w:type="continuationSeparator" w:id="0">
    <w:p w:rsidR="006F539B" w:rsidRDefault="006F539B" w:rsidP="0007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auto"/>
    <w:pitch w:val="default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78F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4000" cy="1752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F539B">
                          <w:pPr>
                            <w:pStyle w:val="a4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778F5" w:rsidRPr="000778F5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0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" filled="f" stroked="f">
              <v:textbox style="mso-fit-shape-to-text:t" inset="0,0,0,0">
                <w:txbxContent>
                  <w:p w:rsidR="00000000" w:rsidRDefault="006F539B">
                    <w:pPr>
                      <w:pStyle w:val="a4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0778F5" w:rsidRPr="000778F5">
                      <w:rPr>
                        <w:rFonts w:ascii="Times New Roman" w:hAnsi="Times New Roman"/>
                        <w:noProof/>
                        <w:sz w:val="24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9B" w:rsidRDefault="006F539B" w:rsidP="000778F5">
      <w:r>
        <w:separator/>
      </w:r>
    </w:p>
  </w:footnote>
  <w:footnote w:type="continuationSeparator" w:id="0">
    <w:p w:rsidR="006F539B" w:rsidRDefault="006F539B" w:rsidP="00077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F539B">
    <w:pPr>
      <w:pStyle w:val="a3"/>
      <w:pBdr>
        <w:bottom w:val="none" w:sz="0" w:space="1" w:color="auto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F9C71"/>
    <w:multiLevelType w:val="singleLevel"/>
    <w:tmpl w:val="87FF9C7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A0"/>
    <w:rsid w:val="000778F5"/>
    <w:rsid w:val="006F539B"/>
    <w:rsid w:val="007E40FC"/>
    <w:rsid w:val="00C9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77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8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77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8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77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8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77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8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410</Words>
  <Characters>2340</Characters>
  <Application>Microsoft Office Word</Application>
  <DocSecurity>0</DocSecurity>
  <Lines>19</Lines>
  <Paragraphs>5</Paragraphs>
  <ScaleCrop>false</ScaleCrop>
  <Company>Microsoft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2</cp:revision>
  <dcterms:created xsi:type="dcterms:W3CDTF">2024-07-04T03:54:00Z</dcterms:created>
  <dcterms:modified xsi:type="dcterms:W3CDTF">2024-07-04T03:54:00Z</dcterms:modified>
</cp:coreProperties>
</file>