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240" w:lineRule="auto"/>
        <w:jc w:val="both"/>
        <w:rPr>
          <w:rFonts w:hint="eastAsia" w:ascii="国标黑体" w:hAnsi="国标黑体" w:eastAsia="黑体" w:cs="国标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国标黑体" w:hAnsi="国标黑体" w:eastAsia="黑体" w:cs="国标黑体"/>
          <w:b w:val="0"/>
          <w:bCs w:val="0"/>
          <w:sz w:val="32"/>
          <w:szCs w:val="32"/>
          <w:u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560" w:lineRule="exact"/>
        <w:jc w:val="center"/>
        <w:textAlignment w:val="auto"/>
        <w:rPr>
          <w:rFonts w:hint="eastAsia" w:ascii="国标宋体" w:hAnsi="国标宋体" w:eastAsia="国标宋体" w:cs="国标宋体"/>
          <w:b/>
          <w:bCs/>
          <w:sz w:val="44"/>
          <w:szCs w:val="44"/>
        </w:rPr>
      </w:pPr>
      <w:r>
        <w:rPr>
          <w:rFonts w:hint="eastAsia" w:ascii="国标宋体" w:hAnsi="国标宋体" w:eastAsia="国标宋体" w:cs="国标宋体"/>
          <w:b/>
          <w:bCs/>
          <w:sz w:val="44"/>
          <w:szCs w:val="44"/>
        </w:rPr>
        <w:t>老年合理用药核心信息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国标黑体" w:hAnsi="国标黑体" w:eastAsia="黑体" w:cs="国标黑体"/>
          <w:sz w:val="32"/>
          <w:szCs w:val="32"/>
        </w:rPr>
        <w:t>一、就诊带上用药单，内服外用说周全。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就诊时，</w:t>
      </w:r>
      <w:r>
        <w:rPr>
          <w:rFonts w:hint="default" w:ascii="Times New Roman" w:hAnsi="Times New Roman" w:eastAsia="仿宋_GB2312"/>
          <w:sz w:val="32"/>
          <w:szCs w:val="32"/>
        </w:rPr>
        <w:t>将</w:t>
      </w:r>
      <w:r>
        <w:rPr>
          <w:rFonts w:ascii="Times New Roman" w:hAnsi="Times New Roman" w:eastAsia="仿宋_GB2312"/>
          <w:sz w:val="32"/>
          <w:szCs w:val="32"/>
        </w:rPr>
        <w:t>正在</w:t>
      </w:r>
      <w:r>
        <w:rPr>
          <w:rFonts w:hint="default" w:ascii="Times New Roman" w:hAnsi="Times New Roman" w:eastAsia="仿宋_GB2312"/>
          <w:sz w:val="32"/>
          <w:szCs w:val="32"/>
        </w:rPr>
        <w:t>使</w:t>
      </w:r>
      <w:r>
        <w:rPr>
          <w:rFonts w:ascii="Times New Roman" w:hAnsi="Times New Roman" w:eastAsia="仿宋_GB2312"/>
          <w:sz w:val="32"/>
          <w:szCs w:val="32"/>
        </w:rPr>
        <w:t>用的内服、外用</w:t>
      </w:r>
      <w:r>
        <w:rPr>
          <w:rFonts w:hint="default" w:ascii="Times New Roman" w:hAnsi="Times New Roman" w:eastAsia="仿宋_GB2312"/>
          <w:sz w:val="32"/>
          <w:szCs w:val="32"/>
        </w:rPr>
        <w:t>等药品清单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带</w:t>
      </w:r>
      <w:r>
        <w:rPr>
          <w:rFonts w:hint="default" w:ascii="Times New Roman" w:hAnsi="Times New Roman" w:eastAsia="仿宋_GB2312"/>
          <w:sz w:val="32"/>
          <w:szCs w:val="32"/>
        </w:rPr>
        <w:t>给医生查看，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便于医生掌握老年人用药情况</w:t>
      </w:r>
      <w:r>
        <w:rPr>
          <w:rFonts w:hint="default" w:ascii="Times New Roman" w:hAnsi="Times New Roman" w:eastAsia="仿宋_GB2312"/>
          <w:sz w:val="32"/>
          <w:szCs w:val="32"/>
        </w:rPr>
        <w:t>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国标黑体" w:hAnsi="国标黑体" w:eastAsia="黑体" w:cs="国标黑体"/>
          <w:sz w:val="32"/>
          <w:szCs w:val="32"/>
        </w:rPr>
        <w:t>二、用法用量遵医嘱，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多重用药要评估</w:t>
      </w:r>
      <w:r>
        <w:rPr>
          <w:rFonts w:hint="eastAsia" w:ascii="国标黑体" w:hAnsi="国标黑体" w:eastAsia="黑体" w:cs="国标黑体"/>
          <w:sz w:val="32"/>
          <w:szCs w:val="32"/>
        </w:rPr>
        <w:t>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用药</w:t>
      </w:r>
      <w:r>
        <w:rPr>
          <w:rFonts w:hint="default" w:ascii="Times New Roman" w:hAnsi="Times New Roman" w:eastAsia="仿宋_GB2312"/>
          <w:sz w:val="32"/>
          <w:szCs w:val="32"/>
        </w:rPr>
        <w:t>严格遵医嘱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/>
          <w:sz w:val="32"/>
          <w:szCs w:val="32"/>
        </w:rPr>
        <w:t>把握好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早晨、</w:t>
      </w:r>
      <w:r>
        <w:rPr>
          <w:rFonts w:hint="default" w:ascii="Times New Roman" w:hAnsi="Times New Roman" w:eastAsia="仿宋_GB2312"/>
          <w:sz w:val="32"/>
          <w:szCs w:val="32"/>
        </w:rPr>
        <w:t>餐前、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餐中、</w:t>
      </w:r>
      <w:r>
        <w:rPr>
          <w:rFonts w:hint="default" w:ascii="Times New Roman" w:hAnsi="Times New Roman" w:eastAsia="仿宋_GB2312"/>
          <w:sz w:val="32"/>
          <w:szCs w:val="32"/>
        </w:rPr>
        <w:t>餐后、睡前等服药时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间</w:t>
      </w:r>
      <w:r>
        <w:rPr>
          <w:rFonts w:hint="default" w:ascii="Times New Roman" w:hAnsi="Times New Roman" w:eastAsia="仿宋_GB2312"/>
          <w:sz w:val="32"/>
          <w:szCs w:val="32"/>
        </w:rPr>
        <w:t>及剂量。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缓释控释药片不能随意掰开、压碎或嚼服，</w:t>
      </w:r>
      <w:r>
        <w:rPr>
          <w:rFonts w:hint="default" w:ascii="Times New Roman" w:hAnsi="Times New Roman" w:eastAsia="仿宋_GB2312"/>
          <w:sz w:val="32"/>
          <w:szCs w:val="32"/>
        </w:rPr>
        <w:t>胶囊一般不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/>
          <w:sz w:val="32"/>
          <w:szCs w:val="32"/>
        </w:rPr>
        <w:t>拆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开</w:t>
      </w:r>
      <w:r>
        <w:rPr>
          <w:rFonts w:hint="default" w:ascii="Times New Roman" w:hAnsi="Times New Roman" w:eastAsia="仿宋_GB2312"/>
          <w:sz w:val="32"/>
          <w:szCs w:val="32"/>
        </w:rPr>
        <w:t>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多种药品合用建议看药学门诊或老年医学科。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国标黑体" w:hAnsi="国标黑体" w:eastAsia="黑体" w:cs="国标黑体"/>
          <w:sz w:val="32"/>
          <w:szCs w:val="32"/>
        </w:rPr>
        <w:t>三、慢病用药莫擅停，规范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治疗最可行</w:t>
      </w:r>
      <w:r>
        <w:rPr>
          <w:rFonts w:hint="eastAsia" w:ascii="国标黑体" w:hAnsi="国标黑体" w:eastAsia="黑体" w:cs="国标黑体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高血压、糖尿病</w:t>
      </w:r>
      <w:r>
        <w:rPr>
          <w:rFonts w:hint="default" w:ascii="Times New Roman" w:hAnsi="Times New Roman" w:eastAsia="仿宋_GB2312"/>
          <w:sz w:val="32"/>
          <w:szCs w:val="32"/>
        </w:rPr>
        <w:t>、高脂血症</w:t>
      </w:r>
      <w:r>
        <w:rPr>
          <w:rFonts w:ascii="Times New Roman" w:hAnsi="Times New Roman" w:eastAsia="仿宋_GB2312"/>
          <w:sz w:val="32"/>
          <w:szCs w:val="32"/>
        </w:rPr>
        <w:t>等慢性病</w:t>
      </w:r>
      <w:r>
        <w:rPr>
          <w:rFonts w:hint="default" w:ascii="Times New Roman" w:hAnsi="Times New Roman" w:eastAsia="仿宋_GB2312"/>
          <w:sz w:val="32"/>
          <w:szCs w:val="32"/>
        </w:rPr>
        <w:t>患者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/>
          <w:sz w:val="32"/>
          <w:szCs w:val="32"/>
        </w:rPr>
        <w:t>规律</w:t>
      </w:r>
      <w:r>
        <w:rPr>
          <w:rFonts w:ascii="Times New Roman" w:hAnsi="Times New Roman" w:eastAsia="仿宋_GB2312"/>
          <w:sz w:val="32"/>
          <w:szCs w:val="32"/>
        </w:rPr>
        <w:t>用药</w:t>
      </w:r>
      <w:r>
        <w:rPr>
          <w:rFonts w:hint="default" w:ascii="Times New Roman" w:hAnsi="Times New Roman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不可凭感觉自行停药、加减量或换药。发生药品漏服，不要自行加倍剂量补服。按时复诊，定期复查肝肾功能。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国标黑体" w:hAnsi="国标黑体" w:eastAsia="黑体" w:cs="国标黑体"/>
          <w:sz w:val="32"/>
          <w:szCs w:val="32"/>
        </w:rPr>
        <w:t>四、服药期间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应注意</w:t>
      </w:r>
      <w:r>
        <w:rPr>
          <w:rFonts w:hint="eastAsia" w:ascii="国标黑体" w:hAnsi="国标黑体" w:eastAsia="黑体" w:cs="国标黑体"/>
          <w:sz w:val="32"/>
          <w:szCs w:val="32"/>
        </w:rPr>
        <w:t>，酒类茶饮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有禁忌</w:t>
      </w:r>
      <w:r>
        <w:rPr>
          <w:rFonts w:hint="eastAsia" w:ascii="国标黑体" w:hAnsi="国标黑体" w:eastAsia="黑体" w:cs="国标黑体"/>
          <w:sz w:val="32"/>
          <w:szCs w:val="32"/>
        </w:rPr>
        <w:t>。</w:t>
      </w:r>
      <w:r>
        <w:rPr>
          <w:rFonts w:hint="default" w:ascii="Times New Roman" w:hAnsi="Times New Roman" w:eastAsia="仿宋_GB2312"/>
          <w:sz w:val="32"/>
          <w:szCs w:val="32"/>
        </w:rPr>
        <w:t>药品宜用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白开水</w:t>
      </w:r>
      <w:r>
        <w:rPr>
          <w:rFonts w:hint="default" w:ascii="Times New Roman" w:hAnsi="Times New Roman" w:eastAsia="仿宋_GB2312"/>
          <w:sz w:val="32"/>
          <w:szCs w:val="32"/>
        </w:rPr>
        <w:t>送服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，茶水、果汁、饮料、牛奶等送服可能会影响疗效和安全性，</w:t>
      </w:r>
      <w:r>
        <w:rPr>
          <w:rFonts w:hint="default" w:ascii="Times New Roman" w:hAnsi="Times New Roman" w:eastAsia="仿宋_GB2312"/>
          <w:sz w:val="32"/>
          <w:szCs w:val="32"/>
        </w:rPr>
        <w:t>开药时要问清饮食禁忌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。用药慎饮酒，</w:t>
      </w:r>
      <w:r>
        <w:rPr>
          <w:rFonts w:hint="default" w:ascii="Times New Roman" w:hAnsi="Times New Roman" w:eastAsia="仿宋_GB2312"/>
          <w:sz w:val="32"/>
          <w:szCs w:val="32"/>
        </w:rPr>
        <w:t>如服用头孢类药品时饮酒可引发严重不良反应。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五、</w:t>
      </w:r>
      <w:r>
        <w:rPr>
          <w:rFonts w:hint="eastAsia" w:ascii="国标黑体" w:hAnsi="国标黑体" w:eastAsia="黑体" w:cs="国标黑体"/>
          <w:sz w:val="32"/>
          <w:szCs w:val="32"/>
        </w:rPr>
        <w:t>不良反应需警惕，不适症状早咨询。</w:t>
      </w:r>
      <w:r>
        <w:rPr>
          <w:rFonts w:hint="default" w:ascii="Times New Roman" w:hAnsi="Times New Roman" w:eastAsia="仿宋_GB2312"/>
          <w:sz w:val="32"/>
          <w:szCs w:val="32"/>
        </w:rPr>
        <w:t>用药后出现</w:t>
      </w:r>
      <w:r>
        <w:rPr>
          <w:rFonts w:ascii="Times New Roman" w:hAnsi="Times New Roman" w:eastAsia="仿宋_GB2312"/>
          <w:sz w:val="32"/>
          <w:szCs w:val="32"/>
        </w:rPr>
        <w:t>头晕、皮疹、恶心、乏力、腹泻等不适症状</w:t>
      </w:r>
      <w:r>
        <w:rPr>
          <w:rFonts w:hint="default" w:ascii="Times New Roman" w:hAnsi="Times New Roman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不要</w:t>
      </w:r>
      <w:r>
        <w:rPr>
          <w:rFonts w:ascii="Times New Roman" w:hAnsi="Times New Roman" w:eastAsia="仿宋_GB2312"/>
          <w:sz w:val="32"/>
          <w:szCs w:val="32"/>
        </w:rPr>
        <w:t>硬扛</w:t>
      </w:r>
      <w:r>
        <w:rPr>
          <w:rFonts w:hint="default" w:ascii="Times New Roman" w:hAnsi="Times New Roman" w:eastAsia="仿宋_GB2312"/>
          <w:sz w:val="32"/>
          <w:szCs w:val="32"/>
        </w:rPr>
        <w:t>或</w:t>
      </w:r>
      <w:r>
        <w:rPr>
          <w:rFonts w:ascii="Times New Roman" w:hAnsi="Times New Roman" w:eastAsia="仿宋_GB2312"/>
          <w:sz w:val="32"/>
          <w:szCs w:val="32"/>
        </w:rPr>
        <w:t>自行调整用药，应及时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就诊或</w:t>
      </w:r>
      <w:r>
        <w:rPr>
          <w:rFonts w:hint="default" w:ascii="Times New Roman" w:hAnsi="Times New Roman" w:eastAsia="仿宋_GB2312"/>
          <w:sz w:val="32"/>
          <w:szCs w:val="32"/>
        </w:rPr>
        <w:t>咨询</w:t>
      </w:r>
      <w:r>
        <w:rPr>
          <w:rFonts w:ascii="Times New Roman" w:hAnsi="Times New Roman" w:eastAsia="仿宋_GB2312"/>
          <w:sz w:val="32"/>
          <w:szCs w:val="32"/>
        </w:rPr>
        <w:t>医生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/>
          <w:sz w:val="32"/>
          <w:szCs w:val="32"/>
        </w:rPr>
        <w:t>药师。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六、</w:t>
      </w:r>
      <w:r>
        <w:rPr>
          <w:rFonts w:hint="eastAsia" w:ascii="国标黑体" w:hAnsi="国标黑体" w:eastAsia="黑体" w:cs="国标黑体"/>
          <w:sz w:val="32"/>
          <w:szCs w:val="32"/>
        </w:rPr>
        <w:t>药品存放有讲究，过期变质及时清。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家庭备药</w:t>
      </w:r>
      <w:r>
        <w:rPr>
          <w:rFonts w:hint="default" w:ascii="Times New Roman" w:hAnsi="Times New Roman" w:eastAsia="仿宋_GB2312"/>
          <w:sz w:val="32"/>
          <w:szCs w:val="32"/>
        </w:rPr>
        <w:t>应按说明书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提示</w:t>
      </w:r>
      <w:r>
        <w:rPr>
          <w:rFonts w:hint="default" w:ascii="Times New Roman" w:hAnsi="Times New Roman" w:eastAsia="仿宋_GB2312"/>
          <w:sz w:val="32"/>
          <w:szCs w:val="32"/>
        </w:rPr>
        <w:t>存放，一般应放</w:t>
      </w:r>
      <w:r>
        <w:rPr>
          <w:rFonts w:ascii="Times New Roman" w:hAnsi="Times New Roman" w:eastAsia="仿宋_GB2312"/>
          <w:sz w:val="32"/>
          <w:szCs w:val="32"/>
        </w:rPr>
        <w:t>于阴凉干燥避光处</w:t>
      </w:r>
      <w:r>
        <w:rPr>
          <w:rFonts w:hint="default" w:ascii="Times New Roman" w:hAnsi="Times New Roman" w:eastAsia="仿宋_GB2312"/>
          <w:sz w:val="32"/>
          <w:szCs w:val="32"/>
        </w:rPr>
        <w:t>。建议</w:t>
      </w:r>
      <w:r>
        <w:rPr>
          <w:rFonts w:ascii="Times New Roman" w:hAnsi="Times New Roman" w:eastAsia="仿宋_GB2312"/>
          <w:sz w:val="32"/>
          <w:szCs w:val="32"/>
        </w:rPr>
        <w:t>每3个月</w:t>
      </w:r>
      <w:r>
        <w:rPr>
          <w:rFonts w:hint="default" w:ascii="Times New Roman" w:hAnsi="Times New Roman" w:eastAsia="仿宋_GB2312"/>
          <w:sz w:val="32"/>
          <w:szCs w:val="32"/>
        </w:rPr>
        <w:t>检查</w:t>
      </w:r>
      <w:r>
        <w:rPr>
          <w:rFonts w:ascii="Times New Roman" w:hAnsi="Times New Roman" w:eastAsia="仿宋_GB2312"/>
          <w:sz w:val="32"/>
          <w:szCs w:val="32"/>
        </w:rPr>
        <w:t>一次家庭</w:t>
      </w:r>
      <w:r>
        <w:rPr>
          <w:rFonts w:hint="default" w:ascii="Times New Roman" w:hAnsi="Times New Roman" w:eastAsia="仿宋_GB2312"/>
          <w:sz w:val="32"/>
          <w:szCs w:val="32"/>
        </w:rPr>
        <w:t>药箱，及时清理过期和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受潮、</w:t>
      </w:r>
      <w:r>
        <w:rPr>
          <w:rFonts w:hint="default" w:ascii="Times New Roman" w:hAnsi="Times New Roman" w:eastAsia="仿宋_GB2312"/>
          <w:sz w:val="32"/>
          <w:szCs w:val="32"/>
        </w:rPr>
        <w:t>变色、软化、发霉等变质药品。清理出的</w:t>
      </w:r>
      <w:r>
        <w:rPr>
          <w:rFonts w:ascii="Times New Roman" w:hAnsi="Times New Roman" w:eastAsia="仿宋_GB2312"/>
          <w:sz w:val="32"/>
          <w:szCs w:val="32"/>
        </w:rPr>
        <w:t>药品</w:t>
      </w:r>
      <w:r>
        <w:rPr>
          <w:rFonts w:hint="default" w:ascii="Times New Roman" w:hAnsi="Times New Roman" w:eastAsia="仿宋_GB2312"/>
          <w:sz w:val="32"/>
          <w:szCs w:val="32"/>
        </w:rPr>
        <w:t>按</w:t>
      </w:r>
      <w:r>
        <w:rPr>
          <w:rFonts w:ascii="Times New Roman" w:hAnsi="Times New Roman" w:eastAsia="仿宋_GB2312"/>
          <w:sz w:val="32"/>
          <w:szCs w:val="32"/>
        </w:rPr>
        <w:t>有害垃圾</w:t>
      </w:r>
      <w:r>
        <w:rPr>
          <w:rFonts w:hint="default" w:ascii="Times New Roman" w:hAnsi="Times New Roman" w:eastAsia="仿宋_GB2312"/>
          <w:sz w:val="32"/>
          <w:szCs w:val="32"/>
        </w:rPr>
        <w:t>处理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七</w:t>
      </w:r>
      <w:r>
        <w:rPr>
          <w:rFonts w:hint="eastAsia" w:ascii="国标黑体" w:hAnsi="国标黑体" w:eastAsia="黑体" w:cs="国标黑体"/>
          <w:sz w:val="32"/>
          <w:szCs w:val="32"/>
        </w:rPr>
        <w:t>、保健食品不治病，偏方秘方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不轻信</w:t>
      </w:r>
      <w:r>
        <w:rPr>
          <w:rFonts w:hint="eastAsia" w:ascii="国标黑体" w:hAnsi="国标黑体" w:eastAsia="黑体" w:cs="国标黑体"/>
          <w:sz w:val="32"/>
          <w:szCs w:val="32"/>
        </w:rPr>
        <w:t>。</w:t>
      </w:r>
      <w:r>
        <w:rPr>
          <w:rFonts w:hint="default" w:ascii="Times New Roman" w:hAnsi="Times New Roman" w:eastAsia="仿宋_GB2312"/>
          <w:sz w:val="32"/>
          <w:szCs w:val="32"/>
        </w:rPr>
        <w:t>保健食品不具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有</w:t>
      </w:r>
      <w:r>
        <w:rPr>
          <w:rFonts w:ascii="Times New Roman" w:hAnsi="Times New Roman" w:eastAsia="仿宋_GB2312"/>
          <w:sz w:val="32"/>
          <w:szCs w:val="32"/>
        </w:rPr>
        <w:t>治疗疾病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作用</w:t>
      </w:r>
      <w:r>
        <w:rPr>
          <w:rFonts w:hint="default" w:ascii="Times New Roman" w:hAnsi="Times New Roman" w:eastAsia="仿宋_GB2312"/>
          <w:sz w:val="32"/>
          <w:szCs w:val="32"/>
        </w:rPr>
        <w:t>，不能替代药品。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不要</w:t>
      </w:r>
      <w:r>
        <w:rPr>
          <w:rFonts w:hint="default" w:ascii="Times New Roman" w:hAnsi="Times New Roman" w:eastAsia="仿宋_GB2312"/>
          <w:sz w:val="32"/>
          <w:szCs w:val="32"/>
        </w:rPr>
        <w:t>轻信</w:t>
      </w:r>
      <w:r>
        <w:rPr>
          <w:rFonts w:ascii="Times New Roman" w:hAnsi="Times New Roman" w:eastAsia="仿宋_GB2312"/>
          <w:sz w:val="32"/>
          <w:szCs w:val="32"/>
        </w:rPr>
        <w:t>来源不明的</w:t>
      </w:r>
      <w:r>
        <w:rPr>
          <w:rFonts w:hint="default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偏方秘方</w:t>
      </w:r>
      <w:r>
        <w:rPr>
          <w:rFonts w:hint="default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tabs>
          <w:tab w:val="left" w:pos="284"/>
        </w:tabs>
        <w:spacing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八</w:t>
      </w:r>
      <w:r>
        <w:rPr>
          <w:rFonts w:hint="eastAsia" w:ascii="国标黑体" w:hAnsi="国标黑体" w:eastAsia="黑体" w:cs="国标黑体"/>
          <w:sz w:val="32"/>
          <w:szCs w:val="32"/>
        </w:rPr>
        <w:t>、</w:t>
      </w:r>
      <w:r>
        <w:rPr>
          <w:rFonts w:hint="eastAsia" w:ascii="国标黑体" w:hAnsi="国标黑体" w:eastAsia="黑体" w:cs="国标黑体"/>
          <w:sz w:val="32"/>
          <w:szCs w:val="32"/>
          <w:lang w:eastAsia="zh-CN"/>
        </w:rPr>
        <w:t>老年用药很要紧，家人呵护更放心</w:t>
      </w:r>
      <w:r>
        <w:rPr>
          <w:rFonts w:hint="eastAsia" w:ascii="国标黑体" w:hAnsi="国标黑体" w:eastAsia="黑体" w:cs="国标黑体"/>
          <w:sz w:val="32"/>
          <w:szCs w:val="32"/>
        </w:rPr>
        <w:t>。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家人及</w:t>
      </w:r>
      <w:r>
        <w:rPr>
          <w:rFonts w:hint="default" w:ascii="Times New Roman" w:hAnsi="Times New Roman" w:eastAsia="仿宋_GB2312"/>
          <w:sz w:val="32"/>
          <w:szCs w:val="32"/>
        </w:rPr>
        <w:t>照护者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要</w:t>
      </w:r>
      <w:r>
        <w:rPr>
          <w:rFonts w:ascii="Times New Roman" w:hAnsi="Times New Roman" w:eastAsia="仿宋_GB2312"/>
          <w:sz w:val="32"/>
          <w:szCs w:val="32"/>
        </w:rPr>
        <w:t>提醒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、帮助</w:t>
      </w:r>
      <w:r>
        <w:rPr>
          <w:rFonts w:ascii="Times New Roman" w:hAnsi="Times New Roman" w:eastAsia="仿宋_GB2312"/>
          <w:sz w:val="32"/>
          <w:szCs w:val="32"/>
        </w:rPr>
        <w:t>老</w:t>
      </w:r>
      <w:r>
        <w:rPr>
          <w:rFonts w:hint="default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人按时</w:t>
      </w:r>
      <w:r>
        <w:rPr>
          <w:rFonts w:hint="default" w:ascii="Times New Roman" w:hAnsi="Times New Roman" w:eastAsia="仿宋_GB2312"/>
          <w:sz w:val="32"/>
          <w:szCs w:val="32"/>
        </w:rPr>
        <w:t>服药</w:t>
      </w:r>
      <w:r>
        <w:rPr>
          <w:rFonts w:ascii="Times New Roman" w:hAnsi="Times New Roman" w:eastAsia="仿宋_GB2312"/>
          <w:sz w:val="32"/>
          <w:szCs w:val="32"/>
        </w:rPr>
        <w:t>。及时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引导老年人理性对待网购、推销药品和保健食品。</w:t>
      </w:r>
    </w:p>
    <w:p>
      <w:pPr>
        <w:tabs>
          <w:tab w:val="left" w:pos="284"/>
        </w:tabs>
        <w:spacing w:line="560" w:lineRule="exact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after="24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10"/>
        <w:ind w:right="153" w:rightChars="73"/>
        <w:rPr>
          <w:rFonts w:hint="eastAsia"/>
          <w:b/>
          <w:bCs/>
          <w:sz w:val="36"/>
        </w:rPr>
      </w:pPr>
    </w:p>
    <w:p>
      <w:pPr>
        <w:rPr>
          <w:rFonts w:ascii="仿宋_GB2312"/>
          <w:szCs w:val="32"/>
        </w:rPr>
      </w:pPr>
    </w:p>
    <w:p/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420"/>
        <w:jc w:val="both"/>
      </w:pP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both"/>
        <w:rPr>
          <w:rFonts w:hint="default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  <w:p>
    <w:pPr>
      <w:pStyle w:val="5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E87AF"/>
    <w:rsid w:val="2FEED703"/>
    <w:rsid w:val="3EAB0813"/>
    <w:rsid w:val="3F5F12E0"/>
    <w:rsid w:val="5FEFA5B3"/>
    <w:rsid w:val="795B2B50"/>
    <w:rsid w:val="7DF71648"/>
    <w:rsid w:val="95F51836"/>
    <w:rsid w:val="D7FF41EC"/>
    <w:rsid w:val="E5FEA174"/>
    <w:rsid w:val="EEB66B35"/>
    <w:rsid w:val="EF76DAA1"/>
    <w:rsid w:val="F67DE2FE"/>
    <w:rsid w:val="F7D760E8"/>
    <w:rsid w:val="FA5FB326"/>
    <w:rsid w:val="FB4FD020"/>
    <w:rsid w:val="FFEFC3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next w:val="1"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after="120" w:afterLines="0" w:afterAutospacing="0"/>
      <w:jc w:val="both"/>
    </w:pPr>
    <w:rPr>
      <w:rFonts w:hint="eastAsia" w:ascii="等线" w:hAnsi="等线" w:eastAsia="仿宋" w:cs="Times New Roman"/>
      <w:kern w:val="2"/>
      <w:sz w:val="22"/>
      <w:szCs w:val="24"/>
      <w:lang w:val="en-US" w:eastAsia="zh-CN" w:bidi="ar-SA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7">
    <w:name w:val="Normal (Web)"/>
    <w:qFormat/>
    <w:uiPriority w:val="0"/>
    <w:pPr>
      <w:widowControl w:val="0"/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-SA"/>
    </w:rPr>
  </w:style>
  <w:style w:type="paragraph" w:customStyle="1" w:styleId="10">
    <w:name w:val="样式1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customStyle="1" w:styleId="11">
    <w:name w:val="msolistparagraph"/>
    <w:qFormat/>
    <w:uiPriority w:val="0"/>
    <w:pPr>
      <w:widowControl w:val="0"/>
      <w:spacing w:after="160" w:line="276" w:lineRule="auto"/>
      <w:ind w:firstLine="420" w:firstLineChars="200"/>
      <w:jc w:val="left"/>
    </w:pPr>
    <w:rPr>
      <w:rFonts w:hint="eastAsia" w:ascii="等线" w:hAnsi="等线" w:eastAsia="等线" w:cs="Times New Roman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301国家老年中心</cp:lastModifiedBy>
  <cp:lastPrinted>2026-07-09T03:27:24Z</cp:lastPrinted>
  <dcterms:modified xsi:type="dcterms:W3CDTF">2026-07-08T14:49:59Z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28A571B556D2694717F34D6A4180DCB6_43</vt:lpwstr>
  </property>
</Properties>
</file>