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1E5" w:rsidRDefault="00B401E5" w:rsidP="00B401E5">
      <w:pPr>
        <w:spacing w:line="560" w:lineRule="exact"/>
        <w:rPr>
          <w:rFonts w:ascii="Times New Roman" w:eastAsia="方正大黑体_GBK" w:hAnsi="Times New Roman"/>
          <w:kern w:val="0"/>
          <w:sz w:val="32"/>
          <w:szCs w:val="32"/>
        </w:rPr>
      </w:pPr>
      <w:bookmarkStart w:id="0" w:name="_GoBack"/>
      <w:r>
        <w:rPr>
          <w:rFonts w:ascii="Times New Roman" w:eastAsia="方正大黑体_GBK" w:hAnsi="Times New Roman"/>
          <w:kern w:val="0"/>
          <w:sz w:val="32"/>
          <w:szCs w:val="32"/>
        </w:rPr>
        <w:t>附件</w:t>
      </w:r>
      <w:r>
        <w:rPr>
          <w:rFonts w:ascii="Times New Roman" w:eastAsia="方正大黑体_GBK" w:hAnsi="Times New Roman"/>
          <w:kern w:val="0"/>
          <w:sz w:val="32"/>
          <w:szCs w:val="32"/>
        </w:rPr>
        <w:t>1</w:t>
      </w:r>
    </w:p>
    <w:p w:rsidR="00B401E5" w:rsidRDefault="00B401E5" w:rsidP="00B401E5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2026</w:t>
      </w:r>
      <w:r>
        <w:rPr>
          <w:rFonts w:ascii="Times New Roman" w:eastAsia="方正小标宋简体" w:hAnsi="Times New Roman"/>
          <w:kern w:val="0"/>
          <w:sz w:val="44"/>
          <w:szCs w:val="44"/>
        </w:rPr>
        <w:t>年自治区药品临床综合评价</w:t>
      </w:r>
    </w:p>
    <w:p w:rsidR="00B401E5" w:rsidRDefault="00B401E5" w:rsidP="00B401E5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项目申报指南</w:t>
      </w:r>
    </w:p>
    <w:bookmarkEnd w:id="0"/>
    <w:p w:rsidR="00B401E5" w:rsidRDefault="00B401E5" w:rsidP="00B401E5"/>
    <w:p w:rsidR="00B401E5" w:rsidRDefault="00B401E5" w:rsidP="00B401E5">
      <w:pPr>
        <w:adjustRightInd w:val="0"/>
        <w:snapToGrid w:val="0"/>
        <w:spacing w:line="560" w:lineRule="exact"/>
        <w:ind w:firstLineChars="200" w:firstLine="640"/>
        <w:rPr>
          <w:rFonts w:ascii="Nimbus Roman No9 L" w:eastAsia="方正黑体简体" w:hAnsi="Nimbus Roman No9 L" w:hint="eastAsia"/>
          <w:kern w:val="0"/>
          <w:sz w:val="32"/>
          <w:szCs w:val="32"/>
          <w:lang w:val="en"/>
        </w:rPr>
      </w:pPr>
      <w:r>
        <w:rPr>
          <w:rFonts w:ascii="Nimbus Roman No9 L" w:eastAsia="方正黑体简体" w:hAnsi="Nimbus Roman No9 L"/>
          <w:kern w:val="0"/>
          <w:sz w:val="32"/>
          <w:szCs w:val="32"/>
        </w:rPr>
        <w:t>一、</w:t>
      </w:r>
      <w:r>
        <w:rPr>
          <w:rFonts w:ascii="Nimbus Roman No9 L" w:eastAsia="方正黑体简体" w:hAnsi="Nimbus Roman No9 L" w:hint="eastAsia"/>
          <w:kern w:val="0"/>
          <w:sz w:val="32"/>
          <w:szCs w:val="32"/>
        </w:rPr>
        <w:t>项目目标</w:t>
      </w:r>
    </w:p>
    <w:p w:rsidR="00B401E5" w:rsidRDefault="00B401E5" w:rsidP="00B401E5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 w:cs="仿宋_GB2312" w:hint="eastAsia"/>
          <w:kern w:val="0"/>
          <w:sz w:val="32"/>
          <w:szCs w:val="32"/>
        </w:rPr>
      </w:pPr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为贯彻落实党中央、国务院关于健全药品供应保障制度的决策部署，立足我区实际，以药品临床价值为导向，围绕国家基本药物、仿制药、儿童药、新疆地产药（化药、生物药、民族药）等自主选题，鼓励多中心、多学科合作开展药品临床综合评价，大力推进临床综合评价结果在药品目录遴选、临床精准用药、药物性损害防控、创新药推广应用及药物政策方面的转化应用。</w:t>
      </w:r>
    </w:p>
    <w:p w:rsidR="00B401E5" w:rsidRDefault="00B401E5" w:rsidP="00B401E5">
      <w:pPr>
        <w:adjustRightInd w:val="0"/>
        <w:snapToGrid w:val="0"/>
        <w:spacing w:line="560" w:lineRule="exact"/>
        <w:ind w:firstLineChars="200" w:firstLine="640"/>
        <w:rPr>
          <w:rFonts w:ascii="楷体" w:eastAsia="楷体" w:hAnsi="楷体" w:cs="楷体" w:hint="eastAsia"/>
          <w:kern w:val="0"/>
          <w:sz w:val="32"/>
          <w:szCs w:val="32"/>
        </w:rPr>
      </w:pPr>
      <w:r>
        <w:rPr>
          <w:rFonts w:ascii="Nimbus Roman No9 L" w:eastAsia="方正黑体简体" w:hAnsi="Nimbus Roman No9 L" w:hint="eastAsia"/>
          <w:kern w:val="0"/>
          <w:sz w:val="32"/>
          <w:szCs w:val="32"/>
        </w:rPr>
        <w:t>二、</w:t>
      </w:r>
      <w:bookmarkStart w:id="1" w:name="OLE_LINK2"/>
      <w:proofErr w:type="gramStart"/>
      <w:r>
        <w:rPr>
          <w:rFonts w:ascii="Nimbus Roman No9 L" w:eastAsia="方正黑体简体" w:hAnsi="Nimbus Roman No9 L" w:hint="eastAsia"/>
          <w:kern w:val="0"/>
          <w:sz w:val="32"/>
          <w:szCs w:val="32"/>
        </w:rPr>
        <w:t>拟支持</w:t>
      </w:r>
      <w:proofErr w:type="gramEnd"/>
      <w:r>
        <w:rPr>
          <w:rFonts w:ascii="Nimbus Roman No9 L" w:eastAsia="方正黑体简体" w:hAnsi="Nimbus Roman No9 L" w:hint="eastAsia"/>
          <w:kern w:val="0"/>
          <w:sz w:val="32"/>
          <w:szCs w:val="32"/>
        </w:rPr>
        <w:t>研究方向</w:t>
      </w:r>
      <w:bookmarkEnd w:id="1"/>
    </w:p>
    <w:p w:rsidR="00B401E5" w:rsidRDefault="00B401E5" w:rsidP="00B401E5">
      <w:pPr>
        <w:adjustRightInd w:val="0"/>
        <w:snapToGrid w:val="0"/>
        <w:spacing w:line="560" w:lineRule="exact"/>
        <w:rPr>
          <w:rFonts w:ascii="楷体" w:eastAsia="楷体" w:hAnsi="楷体" w:cs="楷体" w:hint="eastAsia"/>
          <w:kern w:val="0"/>
          <w:sz w:val="32"/>
          <w:szCs w:val="32"/>
        </w:rPr>
      </w:pPr>
      <w:r>
        <w:rPr>
          <w:rFonts w:ascii="Nimbus Roman No9 L" w:eastAsia="方正黑体简体" w:hAnsi="Nimbus Roman No9 L" w:hint="eastAsia"/>
          <w:kern w:val="0"/>
          <w:sz w:val="32"/>
          <w:szCs w:val="32"/>
        </w:rPr>
        <w:t xml:space="preserve">   </w:t>
      </w:r>
      <w:r>
        <w:rPr>
          <w:rFonts w:ascii="楷体" w:eastAsia="楷体" w:hAnsi="楷体" w:cs="楷体" w:hint="eastAsia"/>
          <w:kern w:val="0"/>
          <w:sz w:val="32"/>
          <w:szCs w:val="32"/>
        </w:rPr>
        <w:t>（一）儿童用药的临床综合评价。</w:t>
      </w:r>
    </w:p>
    <w:p w:rsidR="00B401E5" w:rsidRDefault="00B401E5" w:rsidP="00B401E5">
      <w:pPr>
        <w:adjustRightInd w:val="0"/>
        <w:snapToGrid w:val="0"/>
        <w:spacing w:line="560" w:lineRule="exact"/>
        <w:ind w:firstLine="640"/>
        <w:rPr>
          <w:rFonts w:ascii="Nimbus Roman No9 L" w:eastAsia="仿宋_GB2312" w:hAnsi="Nimbus Roman No9 L" w:cs="仿宋_GB2312" w:hint="eastAsia"/>
          <w:kern w:val="0"/>
          <w:sz w:val="32"/>
          <w:szCs w:val="32"/>
        </w:rPr>
      </w:pPr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根据《儿童药品临床综合评价技术指南（</w:t>
      </w:r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2022</w:t>
      </w:r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年版</w:t>
      </w:r>
      <w:bookmarkStart w:id="2" w:name="OLE_LINK1"/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（试行）</w:t>
      </w:r>
      <w:bookmarkEnd w:id="2"/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》，围绕儿童基本用药需求，充分汲取儿童白血病、哮喘、退热、抗菌、抗过敏等多个用药领域研究成果，结合本单位实际，聚焦儿童患者的特殊性，以用量大、治疗费用高的儿童药作为切入点，以真实世界数据研究为基础，结合文献、政策制度、药品说明书、专利等资料，科学规范开展儿童药品临床综合评价。</w:t>
      </w:r>
    </w:p>
    <w:p w:rsidR="00B401E5" w:rsidRDefault="00B401E5" w:rsidP="00B401E5">
      <w:pPr>
        <w:adjustRightInd w:val="0"/>
        <w:snapToGrid w:val="0"/>
        <w:spacing w:line="560" w:lineRule="exact"/>
        <w:rPr>
          <w:rFonts w:ascii="Nimbus Roman No9 L" w:eastAsia="仿宋_GB2312" w:hAnsi="Nimbus Roman No9 L" w:cs="仿宋_GB2312" w:hint="eastAsia"/>
          <w:kern w:val="0"/>
          <w:sz w:val="32"/>
          <w:szCs w:val="32"/>
        </w:rPr>
      </w:pPr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 xml:space="preserve">   </w:t>
      </w:r>
      <w:r>
        <w:rPr>
          <w:rFonts w:ascii="楷体" w:eastAsia="楷体" w:hAnsi="楷体" w:cs="楷体" w:hint="eastAsia"/>
          <w:kern w:val="0"/>
          <w:sz w:val="32"/>
          <w:szCs w:val="32"/>
        </w:rPr>
        <w:t>（二）慢性病用药的临床综合评价。</w:t>
      </w:r>
    </w:p>
    <w:p w:rsidR="00B401E5" w:rsidRDefault="00B401E5" w:rsidP="00B401E5">
      <w:pPr>
        <w:adjustRightInd w:val="0"/>
        <w:snapToGrid w:val="0"/>
        <w:spacing w:line="560" w:lineRule="exact"/>
        <w:rPr>
          <w:rFonts w:ascii="Nimbus Roman No9 L" w:eastAsia="仿宋_GB2312" w:hAnsi="Nimbus Roman No9 L" w:cs="仿宋_GB2312"/>
          <w:kern w:val="0"/>
          <w:sz w:val="32"/>
          <w:szCs w:val="32"/>
          <w:lang w:val="en"/>
        </w:rPr>
      </w:pPr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 xml:space="preserve">    </w:t>
      </w:r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根据《药品临床综合评价管理指南》《心血管病药品临床综合评价技术指南（</w:t>
      </w:r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2021</w:t>
      </w:r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版）》等指南，从慢性病治疗药物入手，如心脑血管疾病、慢性呼吸系统疾病、糖尿病、免疫类疾病等，结合区域内实际用药情况，针对性选择不同评价维度，科学规范开展慢性病用药的临床综合评价。</w:t>
      </w:r>
    </w:p>
    <w:p w:rsidR="00B401E5" w:rsidRDefault="00B401E5" w:rsidP="00B401E5">
      <w:pPr>
        <w:adjustRightInd w:val="0"/>
        <w:snapToGrid w:val="0"/>
        <w:spacing w:line="560" w:lineRule="exact"/>
        <w:rPr>
          <w:rFonts w:ascii="Nimbus Roman No9 L" w:eastAsia="仿宋_GB2312" w:hAnsi="Nimbus Roman No9 L" w:cs="仿宋_GB2312" w:hint="eastAsia"/>
          <w:kern w:val="0"/>
          <w:sz w:val="32"/>
          <w:szCs w:val="32"/>
        </w:rPr>
      </w:pPr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 xml:space="preserve">    </w:t>
      </w:r>
      <w:r>
        <w:rPr>
          <w:rFonts w:ascii="楷体" w:eastAsia="楷体" w:hAnsi="楷体" w:cs="楷体" w:hint="eastAsia"/>
          <w:kern w:val="0"/>
          <w:sz w:val="32"/>
          <w:szCs w:val="32"/>
        </w:rPr>
        <w:t>（三）抗肿瘤用药的临床综合评价。</w:t>
      </w:r>
    </w:p>
    <w:p w:rsidR="00B401E5" w:rsidRDefault="00B401E5" w:rsidP="00B401E5">
      <w:pPr>
        <w:adjustRightInd w:val="0"/>
        <w:snapToGrid w:val="0"/>
        <w:spacing w:line="560" w:lineRule="exact"/>
        <w:rPr>
          <w:rFonts w:ascii="Nimbus Roman No9 L" w:eastAsia="仿宋_GB2312" w:hAnsi="Nimbus Roman No9 L" w:cs="仿宋_GB2312"/>
          <w:kern w:val="0"/>
          <w:sz w:val="32"/>
          <w:szCs w:val="32"/>
          <w:lang w:val="en"/>
        </w:rPr>
      </w:pPr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 xml:space="preserve">    </w:t>
      </w:r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根据《抗肿瘤药品临床综合评价技术指南（</w:t>
      </w:r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2022</w:t>
      </w:r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年版（试行）》重点聚焦我区抗肿瘤药在临床使用中存在的实际问题，如优化肿瘤患者临床用药策略、降低抗肿瘤患者使用药物的经济负担、提高抗肿瘤药物的有效性、安全性及可及性等，充分利用临床真实世界数据</w:t>
      </w:r>
      <w:proofErr w:type="gramStart"/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与循证</w:t>
      </w:r>
      <w:proofErr w:type="gramEnd"/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医学证据，科学规范开展抗肿瘤用药的临床综合评价。</w:t>
      </w:r>
    </w:p>
    <w:p w:rsidR="00B401E5" w:rsidRDefault="00B401E5" w:rsidP="00B401E5">
      <w:pPr>
        <w:adjustRightInd w:val="0"/>
        <w:snapToGrid w:val="0"/>
        <w:spacing w:line="560" w:lineRule="exact"/>
        <w:ind w:firstLine="640"/>
        <w:rPr>
          <w:rFonts w:ascii="Nimbus Roman No9 L" w:eastAsia="仿宋_GB2312" w:hAnsi="Nimbus Roman No9 L" w:cs="仿宋_GB2312" w:hint="eastAsia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（四）我区高发病用药的临床综合评价。</w:t>
      </w:r>
    </w:p>
    <w:p w:rsidR="00B401E5" w:rsidRDefault="00B401E5" w:rsidP="00B401E5">
      <w:pPr>
        <w:adjustRightInd w:val="0"/>
        <w:snapToGrid w:val="0"/>
        <w:spacing w:line="560" w:lineRule="exact"/>
        <w:rPr>
          <w:rFonts w:ascii="Nimbus Roman No9 L" w:eastAsia="仿宋_GB2312" w:hAnsi="Nimbus Roman No9 L" w:cs="仿宋_GB2312"/>
          <w:kern w:val="0"/>
          <w:sz w:val="32"/>
          <w:szCs w:val="32"/>
        </w:rPr>
      </w:pPr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 xml:space="preserve">    </w:t>
      </w:r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根据《药品临床综合评价管理指南》等指南，围绕区域重大疾病防治基本用药需求，结合本单位实际用药情况，聚焦药品临床实践中的政策问题和技术问题，收集利用药品临床使用证据资料，从安全性、有效性、经济性等维度科学规范开展数据整合分析与综合</w:t>
      </w:r>
      <w:proofErr w:type="gramStart"/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研</w:t>
      </w:r>
      <w:proofErr w:type="gramEnd"/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判，开展我区高发病用药的临床综合评价。</w:t>
      </w:r>
    </w:p>
    <w:p w:rsidR="00B401E5" w:rsidRDefault="00B401E5" w:rsidP="00B401E5">
      <w:pPr>
        <w:adjustRightInd w:val="0"/>
        <w:snapToGrid w:val="0"/>
        <w:spacing w:line="560" w:lineRule="exact"/>
        <w:rPr>
          <w:rFonts w:ascii="Nimbus Roman No9 L" w:eastAsia="仿宋_GB2312" w:hAnsi="Nimbus Roman No9 L" w:cs="仿宋_GB2312" w:hint="eastAsia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 xml:space="preserve">    （五）地产药的临床综合评价。</w:t>
      </w:r>
    </w:p>
    <w:p w:rsidR="00B401E5" w:rsidRDefault="00B401E5" w:rsidP="00B401E5">
      <w:pPr>
        <w:adjustRightInd w:val="0"/>
        <w:snapToGrid w:val="0"/>
        <w:spacing w:line="560" w:lineRule="exact"/>
        <w:ind w:firstLine="640"/>
        <w:rPr>
          <w:rFonts w:ascii="Nimbus Roman No9 L" w:eastAsia="仿宋_GB2312" w:hAnsi="Nimbus Roman No9 L" w:cs="仿宋_GB2312" w:hint="eastAsia"/>
          <w:kern w:val="0"/>
          <w:sz w:val="32"/>
          <w:szCs w:val="32"/>
        </w:rPr>
      </w:pPr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根据《药品临床综合评价管理指南》等指南，以新疆地产药（化药、生物药、民族药）作为主要研究对象，在充分利用药品使用监测数据的基础上，聚焦临床使用中的实际问题，针对性选择不同评价维度，科学规范开展地产药的临床综合评价。</w:t>
      </w:r>
    </w:p>
    <w:p w:rsidR="00B401E5" w:rsidRDefault="00B401E5" w:rsidP="00B401E5">
      <w:pPr>
        <w:adjustRightInd w:val="0"/>
        <w:snapToGrid w:val="0"/>
        <w:spacing w:line="560" w:lineRule="exact"/>
        <w:rPr>
          <w:rFonts w:ascii="楷体" w:eastAsia="楷体" w:hAnsi="楷体" w:cs="楷体" w:hint="eastAsia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 xml:space="preserve">    （六）基本药物与创新药品的临床综合评价。</w:t>
      </w:r>
    </w:p>
    <w:p w:rsidR="00B401E5" w:rsidRDefault="00B401E5" w:rsidP="00B401E5">
      <w:pPr>
        <w:adjustRightInd w:val="0"/>
        <w:snapToGrid w:val="0"/>
        <w:spacing w:line="560" w:lineRule="exact"/>
        <w:rPr>
          <w:rFonts w:ascii="Nimbus Roman No9 L" w:eastAsia="仿宋_GB2312" w:hAnsi="Nimbus Roman No9 L" w:cs="仿宋_GB2312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 xml:space="preserve">  </w:t>
      </w:r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 xml:space="preserve">  </w:t>
      </w:r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根据国家基本药物制度相关政策，针对基本药物目录内的药品，评价其在保障临床基本需求、</w:t>
      </w:r>
      <w:proofErr w:type="gramStart"/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公平可</w:t>
      </w:r>
      <w:proofErr w:type="gramEnd"/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及、合理用药等方面的实际价值与政策效果；同时，对近年获批上市、具备显著临床价值的创新药品（包括创新化学药、生物药、中药），围绕其临床定位、与现有标准治疗相比的优势、药物经济价值、可负担性及对临床诊疗路径的影响进行综合评价。旨在为基本药物的优化调整、创新药进入临床和</w:t>
      </w:r>
      <w:proofErr w:type="gramStart"/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医保</w:t>
      </w:r>
      <w:proofErr w:type="gramEnd"/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目录提供高质量的循</w:t>
      </w:r>
      <w:proofErr w:type="gramStart"/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证决策</w:t>
      </w:r>
      <w:proofErr w:type="gramEnd"/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证据。</w:t>
      </w:r>
    </w:p>
    <w:p w:rsidR="00B401E5" w:rsidRDefault="00B401E5" w:rsidP="00B401E5">
      <w:pPr>
        <w:adjustRightInd w:val="0"/>
        <w:snapToGrid w:val="0"/>
        <w:spacing w:line="560" w:lineRule="exact"/>
        <w:rPr>
          <w:rFonts w:ascii="楷体" w:eastAsia="楷体" w:hAnsi="楷体" w:cs="楷体" w:hint="eastAsia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 xml:space="preserve">   （七）药品临床综合评价的方法学研究。</w:t>
      </w:r>
    </w:p>
    <w:p w:rsidR="00B401E5" w:rsidRDefault="00B401E5" w:rsidP="00B401E5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 w:cs="仿宋_GB2312" w:hint="eastAsia"/>
          <w:kern w:val="0"/>
          <w:sz w:val="32"/>
          <w:szCs w:val="32"/>
        </w:rPr>
      </w:pPr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根据《国务院办公厅关于完善国家基本药物制度的意见》</w:t>
      </w:r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 xml:space="preserve"> </w:t>
      </w:r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《国务院关于进一步做好短缺药品保供稳价工作的意见》《国家卫生健康委关于开展药品使用监测和临床综合评价工作的通知》《药品临床综合评价管理指南》等国家药物政策，结合基础积累、技术特长</w:t>
      </w:r>
      <w:r>
        <w:rPr>
          <w:rFonts w:ascii="Nimbus Roman No9 L" w:eastAsia="仿宋_GB2312" w:hAnsi="Nimbus Roman No9 L" w:cs="仿宋_GB2312" w:hint="eastAsia"/>
          <w:kern w:val="0"/>
          <w:sz w:val="32"/>
          <w:szCs w:val="32"/>
          <w:lang w:val="en"/>
        </w:rPr>
        <w:t>，</w:t>
      </w:r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以区域政策制定，</w:t>
      </w:r>
      <w:r>
        <w:rPr>
          <w:rFonts w:ascii="Times New Roman" w:eastAsia="仿宋_GB2312" w:hAnsi="Times New Roman"/>
          <w:sz w:val="32"/>
          <w:szCs w:val="32"/>
        </w:rPr>
        <w:t>建立基本药物、民族药、应急保供药品临床综合评价技术工具</w:t>
      </w:r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以及方法体系和成果转化机制等研究方向为切入点，为制定我区药品生产供应、采购储备、流通使用、监测管理等药物政策，建立相关技术评估标准提供参考依据。</w:t>
      </w:r>
    </w:p>
    <w:p w:rsidR="00B401E5" w:rsidRDefault="00B401E5" w:rsidP="00B401E5">
      <w:pPr>
        <w:adjustRightInd w:val="0"/>
        <w:snapToGrid w:val="0"/>
        <w:spacing w:line="560" w:lineRule="exact"/>
        <w:ind w:leftChars="200" w:left="420"/>
        <w:rPr>
          <w:rFonts w:ascii="Nimbus Roman No9 L" w:eastAsia="方正黑体简体" w:hAnsi="Nimbus Roman No9 L" w:hint="eastAsia"/>
          <w:kern w:val="0"/>
          <w:sz w:val="32"/>
          <w:szCs w:val="32"/>
        </w:rPr>
      </w:pPr>
      <w:r>
        <w:rPr>
          <w:rFonts w:ascii="Nimbus Roman No9 L" w:eastAsia="方正黑体简体" w:hAnsi="Nimbus Roman No9 L" w:hint="eastAsia"/>
          <w:kern w:val="0"/>
          <w:sz w:val="32"/>
          <w:szCs w:val="32"/>
        </w:rPr>
        <w:t xml:space="preserve">  </w:t>
      </w:r>
      <w:r>
        <w:rPr>
          <w:rFonts w:ascii="Nimbus Roman No9 L" w:eastAsia="方正黑体简体" w:hAnsi="Nimbus Roman No9 L" w:hint="eastAsia"/>
          <w:kern w:val="0"/>
          <w:sz w:val="32"/>
          <w:szCs w:val="32"/>
        </w:rPr>
        <w:t>三、研究方式及维度</w:t>
      </w:r>
    </w:p>
    <w:p w:rsidR="00B401E5" w:rsidRDefault="00B401E5" w:rsidP="00B401E5">
      <w:pPr>
        <w:adjustRightInd w:val="0"/>
        <w:snapToGrid w:val="0"/>
        <w:spacing w:line="560" w:lineRule="exact"/>
        <w:ind w:firstLine="640"/>
        <w:rPr>
          <w:rFonts w:ascii="Nimbus Roman No9 L" w:eastAsia="仿宋_GB2312" w:hAnsi="Nimbus Roman No9 L" w:cs="仿宋_GB2312" w:hint="eastAsia"/>
          <w:kern w:val="0"/>
          <w:sz w:val="32"/>
          <w:szCs w:val="32"/>
        </w:rPr>
      </w:pPr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实施药品临床综合评价的机构要结合实际需要，充分利用卫生技术评估方法及药品使用监测工具，综合利用药品上市准入、大规模多中心临床试验结果、不良反应监测、医疗卫生机构药品使用监测、药品临床实践真实世界数据以及国内外文献等资料。可采用多种方式方法，如问卷调查、专家咨询、文献调研、回顾性病例研究、真实世界数据研究、前瞻性队列研究、临床试验等。以《药品临床综合评价管理指南》中的六个维度（安全性、有效性、经济性、创新性、适宜性、可及性）为基本研究框架，可根据药品特点和临床实际需求等进行调整，选择单维度或多维度，整体研究以安全性、有效性、经济性及可及性为核心。鼓励申报单位结合研究方向与实际需求，申报多中心研究项目。</w:t>
      </w:r>
    </w:p>
    <w:p w:rsidR="00B401E5" w:rsidRDefault="00B401E5" w:rsidP="00B401E5">
      <w:pPr>
        <w:numPr>
          <w:ilvl w:val="0"/>
          <w:numId w:val="1"/>
        </w:numPr>
        <w:adjustRightInd w:val="0"/>
        <w:snapToGrid w:val="0"/>
        <w:spacing w:line="560" w:lineRule="exact"/>
        <w:ind w:firstLineChars="200" w:firstLine="640"/>
        <w:rPr>
          <w:rFonts w:ascii="Nimbus Roman No9 L" w:eastAsia="方正黑体简体" w:hAnsi="Nimbus Roman No9 L" w:hint="eastAsia"/>
          <w:kern w:val="0"/>
          <w:sz w:val="32"/>
          <w:szCs w:val="32"/>
        </w:rPr>
      </w:pPr>
      <w:r>
        <w:rPr>
          <w:rFonts w:ascii="Nimbus Roman No9 L" w:eastAsia="方正黑体简体" w:hAnsi="Nimbus Roman No9 L" w:hint="eastAsia"/>
          <w:kern w:val="0"/>
          <w:sz w:val="32"/>
          <w:szCs w:val="32"/>
        </w:rPr>
        <w:t>支持经费及时限</w:t>
      </w:r>
    </w:p>
    <w:p w:rsidR="00B401E5" w:rsidRDefault="00B401E5" w:rsidP="00B401E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proofErr w:type="gramStart"/>
      <w:r>
        <w:rPr>
          <w:rFonts w:ascii="Nimbus Roman No9 L" w:eastAsia="仿宋_GB2312" w:hAnsi="Nimbus Roman No9 L" w:hint="eastAsia"/>
          <w:kern w:val="0"/>
          <w:sz w:val="32"/>
          <w:szCs w:val="32"/>
        </w:rPr>
        <w:t>拟支持</w:t>
      </w:r>
      <w:proofErr w:type="gramEnd"/>
      <w:r>
        <w:rPr>
          <w:rFonts w:ascii="Nimbus Roman No9 L" w:eastAsia="仿宋_GB2312" w:hAnsi="Nimbus Roman No9 L" w:hint="eastAsia"/>
          <w:kern w:val="0"/>
          <w:sz w:val="32"/>
          <w:szCs w:val="32"/>
        </w:rPr>
        <w:t>项目直接费用的平均强度约为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1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万元，</w:t>
      </w:r>
      <w:r>
        <w:rPr>
          <w:rFonts w:ascii="Times New Roman" w:eastAsia="仿宋_GB2312" w:hAnsi="Times New Roman" w:hint="eastAsia"/>
          <w:sz w:val="32"/>
          <w:szCs w:val="32"/>
        </w:rPr>
        <w:t>优先资助多中心合作评价项目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要求</w:t>
      </w:r>
      <w:r>
        <w:rPr>
          <w:rFonts w:ascii="Times New Roman" w:eastAsia="仿宋_GB2312" w:hAnsi="Times New Roman"/>
          <w:sz w:val="32"/>
          <w:szCs w:val="32"/>
          <w:lang w:val="en"/>
        </w:rPr>
        <w:t>项目单位需按照</w:t>
      </w:r>
      <w:r>
        <w:rPr>
          <w:rFonts w:ascii="Times New Roman" w:eastAsia="仿宋_GB2312" w:hAnsi="Times New Roman"/>
          <w:sz w:val="32"/>
          <w:szCs w:val="32"/>
          <w:lang w:val="en"/>
        </w:rPr>
        <w:t>1:1</w:t>
      </w:r>
      <w:r>
        <w:rPr>
          <w:rFonts w:ascii="Times New Roman" w:eastAsia="仿宋_GB2312" w:hAnsi="Times New Roman" w:hint="eastAsia"/>
          <w:sz w:val="32"/>
          <w:szCs w:val="32"/>
          <w:lang w:val="en"/>
        </w:rPr>
        <w:t>的比例，对所获资助资金进行配套投入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B401E5" w:rsidRDefault="00B401E5" w:rsidP="00B401E5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 w:cs="仿宋_GB2312"/>
          <w:kern w:val="0"/>
          <w:sz w:val="32"/>
          <w:szCs w:val="32"/>
        </w:rPr>
      </w:pPr>
      <w:r>
        <w:rPr>
          <w:rFonts w:ascii="Nimbus Roman No9 L" w:eastAsia="仿宋_GB2312" w:hAnsi="Nimbus Roman No9 L" w:hint="eastAsia"/>
          <w:color w:val="0C0C0C"/>
          <w:kern w:val="0"/>
          <w:sz w:val="32"/>
          <w:szCs w:val="32"/>
        </w:rPr>
        <w:t>课题研究期限原则上不超过</w:t>
      </w:r>
      <w:r>
        <w:rPr>
          <w:rFonts w:ascii="Nimbus Roman No9 L" w:eastAsia="仿宋_GB2312" w:hAnsi="Nimbus Roman No9 L" w:hint="eastAsia"/>
          <w:color w:val="0C0C0C"/>
          <w:kern w:val="0"/>
          <w:sz w:val="32"/>
          <w:szCs w:val="32"/>
        </w:rPr>
        <w:t>2</w:t>
      </w:r>
      <w:r>
        <w:rPr>
          <w:rFonts w:ascii="Nimbus Roman No9 L" w:eastAsia="仿宋_GB2312" w:hAnsi="Nimbus Roman No9 L" w:hint="eastAsia"/>
          <w:color w:val="0C0C0C"/>
          <w:kern w:val="0"/>
          <w:sz w:val="32"/>
          <w:szCs w:val="32"/>
        </w:rPr>
        <w:t>年，多中心合作项目可适当</w:t>
      </w:r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延长至</w:t>
      </w:r>
      <w:r>
        <w:rPr>
          <w:rFonts w:ascii="Nimbus Roman No9 L" w:eastAsia="仿宋_GB2312" w:hAnsi="Nimbus Roman No9 L" w:hint="eastAsia"/>
          <w:color w:val="0C0C0C"/>
          <w:kern w:val="0"/>
          <w:sz w:val="32"/>
          <w:szCs w:val="32"/>
        </w:rPr>
        <w:t>3</w:t>
      </w:r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年。</w:t>
      </w:r>
    </w:p>
    <w:p w:rsidR="00B401E5" w:rsidRDefault="00B401E5" w:rsidP="00B401E5">
      <w:pPr>
        <w:adjustRightInd w:val="0"/>
        <w:snapToGrid w:val="0"/>
        <w:spacing w:line="560" w:lineRule="exact"/>
        <w:rPr>
          <w:rFonts w:ascii="Nimbus Roman No9 L" w:eastAsia="方正黑体简体" w:hAnsi="Nimbus Roman No9 L" w:hint="eastAsia"/>
          <w:kern w:val="0"/>
          <w:sz w:val="32"/>
          <w:szCs w:val="32"/>
        </w:rPr>
      </w:pPr>
      <w:r>
        <w:rPr>
          <w:rFonts w:ascii="Nimbus Roman No9 L" w:eastAsia="仿宋_GB2312" w:hAnsi="Nimbus Roman No9 L" w:hint="eastAsia"/>
          <w:kern w:val="0"/>
          <w:sz w:val="32"/>
          <w:szCs w:val="32"/>
        </w:rPr>
        <w:t xml:space="preserve">    </w:t>
      </w:r>
      <w:r>
        <w:rPr>
          <w:rFonts w:ascii="Nimbus Roman No9 L" w:eastAsia="方正黑体简体" w:hAnsi="Nimbus Roman No9 L" w:hint="eastAsia"/>
          <w:kern w:val="0"/>
          <w:sz w:val="32"/>
          <w:szCs w:val="32"/>
        </w:rPr>
        <w:t>五、项目申报要求</w:t>
      </w:r>
    </w:p>
    <w:p w:rsidR="00B401E5" w:rsidRDefault="00B401E5" w:rsidP="00B401E5">
      <w:pPr>
        <w:adjustRightInd w:val="0"/>
        <w:snapToGrid w:val="0"/>
        <w:spacing w:line="560" w:lineRule="exact"/>
        <w:rPr>
          <w:rFonts w:ascii="Nimbus Roman No9 L" w:eastAsia="仿宋_GB2312" w:hAnsi="Nimbus Roman No9 L" w:hint="eastAsia"/>
          <w:color w:val="0C0C0C"/>
          <w:kern w:val="0"/>
          <w:sz w:val="32"/>
          <w:szCs w:val="32"/>
        </w:rPr>
      </w:pPr>
      <w:r>
        <w:rPr>
          <w:rFonts w:ascii="Nimbus Roman No9 L" w:eastAsia="仿宋_GB2312" w:hAnsi="Nimbus Roman No9 L" w:hint="eastAsia"/>
          <w:color w:val="0C0C0C"/>
          <w:kern w:val="0"/>
          <w:sz w:val="32"/>
          <w:szCs w:val="32"/>
        </w:rPr>
        <w:t xml:space="preserve">    </w:t>
      </w:r>
      <w:r>
        <w:rPr>
          <w:rFonts w:ascii="楷体" w:eastAsia="楷体" w:hAnsi="楷体" w:cs="楷体" w:hint="eastAsia"/>
          <w:color w:val="0C0C0C"/>
          <w:kern w:val="0"/>
          <w:sz w:val="32"/>
          <w:szCs w:val="32"/>
        </w:rPr>
        <w:t>（一）申请条件。</w:t>
      </w:r>
    </w:p>
    <w:p w:rsidR="00B401E5" w:rsidRDefault="00B401E5" w:rsidP="00B401E5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 w:hint="eastAsia"/>
          <w:color w:val="0C0C0C"/>
          <w:kern w:val="0"/>
          <w:sz w:val="32"/>
          <w:szCs w:val="32"/>
        </w:rPr>
      </w:pPr>
      <w:r>
        <w:rPr>
          <w:rFonts w:ascii="Nimbus Roman No9 L" w:eastAsia="仿宋_GB2312" w:hAnsi="Nimbus Roman No9 L" w:hint="eastAsia"/>
          <w:color w:val="0C0C0C"/>
          <w:kern w:val="0"/>
          <w:sz w:val="32"/>
          <w:szCs w:val="32"/>
        </w:rPr>
        <w:t>项目申请人应当具备以下条件：</w:t>
      </w:r>
    </w:p>
    <w:p w:rsidR="00B401E5" w:rsidRDefault="00B401E5" w:rsidP="00B401E5">
      <w:pPr>
        <w:adjustRightInd w:val="0"/>
        <w:snapToGrid w:val="0"/>
        <w:spacing w:line="560" w:lineRule="exact"/>
        <w:ind w:firstLine="640"/>
        <w:jc w:val="left"/>
        <w:rPr>
          <w:rFonts w:ascii="Nimbus Roman No9 L" w:eastAsia="仿宋_GB2312" w:hAnsi="Nimbus Roman No9 L" w:cs="仿宋_GB2312"/>
          <w:kern w:val="0"/>
          <w:sz w:val="32"/>
          <w:szCs w:val="32"/>
        </w:rPr>
      </w:pPr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1.</w:t>
      </w:r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政治立场坚定，热爱祖国，维护祖国统一，维护民族团结；</w:t>
      </w:r>
    </w:p>
    <w:p w:rsidR="00B401E5" w:rsidRDefault="00B401E5" w:rsidP="00B401E5">
      <w:pPr>
        <w:adjustRightInd w:val="0"/>
        <w:snapToGrid w:val="0"/>
        <w:spacing w:line="560" w:lineRule="exact"/>
        <w:ind w:firstLine="640"/>
        <w:jc w:val="left"/>
        <w:rPr>
          <w:rFonts w:ascii="Nimbus Roman No9 L" w:eastAsia="仿宋_GB2312" w:hAnsi="Nimbus Roman No9 L" w:cs="仿宋_GB2312" w:hint="eastAsia"/>
          <w:kern w:val="0"/>
          <w:sz w:val="32"/>
          <w:szCs w:val="32"/>
        </w:rPr>
      </w:pPr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2.</w:t>
      </w:r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具有从事基础或临床研究的经历；</w:t>
      </w:r>
    </w:p>
    <w:p w:rsidR="00B401E5" w:rsidRDefault="00B401E5" w:rsidP="00B401E5">
      <w:pPr>
        <w:adjustRightInd w:val="0"/>
        <w:snapToGrid w:val="0"/>
        <w:spacing w:line="560" w:lineRule="exact"/>
        <w:ind w:firstLine="640"/>
        <w:jc w:val="left"/>
        <w:rPr>
          <w:rFonts w:ascii="Nimbus Roman No9 L" w:eastAsia="仿宋_GB2312" w:hAnsi="Nimbus Roman No9 L" w:cs="仿宋_GB2312" w:hint="eastAsia"/>
          <w:kern w:val="0"/>
          <w:sz w:val="32"/>
          <w:szCs w:val="32"/>
        </w:rPr>
      </w:pPr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3.</w:t>
      </w:r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具有中级职称或具有硕士及以上学位；</w:t>
      </w:r>
    </w:p>
    <w:p w:rsidR="00B401E5" w:rsidRDefault="00B401E5" w:rsidP="00B401E5">
      <w:pPr>
        <w:adjustRightInd w:val="0"/>
        <w:snapToGrid w:val="0"/>
        <w:spacing w:line="560" w:lineRule="exact"/>
        <w:ind w:firstLine="640"/>
        <w:jc w:val="left"/>
        <w:rPr>
          <w:rFonts w:ascii="Nimbus Roman No9 L" w:eastAsia="仿宋_GB2312" w:hAnsi="Nimbus Roman No9 L" w:cs="仿宋_GB2312" w:hint="eastAsia"/>
          <w:kern w:val="0"/>
          <w:sz w:val="32"/>
          <w:szCs w:val="32"/>
        </w:rPr>
      </w:pPr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4.</w:t>
      </w:r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项目负责人年龄在项目结束时原则上不超过退休年龄；</w:t>
      </w:r>
    </w:p>
    <w:p w:rsidR="00B401E5" w:rsidRDefault="00B401E5" w:rsidP="00B401E5">
      <w:pPr>
        <w:adjustRightInd w:val="0"/>
        <w:snapToGrid w:val="0"/>
        <w:spacing w:line="560" w:lineRule="exact"/>
        <w:ind w:firstLine="640"/>
        <w:jc w:val="left"/>
        <w:rPr>
          <w:rFonts w:ascii="Nimbus Roman No9 L" w:eastAsia="仿宋_GB2312" w:hAnsi="Nimbus Roman No9 L" w:cs="仿宋_GB2312"/>
          <w:kern w:val="0"/>
          <w:sz w:val="32"/>
          <w:szCs w:val="32"/>
          <w:lang w:val="en"/>
        </w:rPr>
      </w:pPr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5.</w:t>
      </w:r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>申请人应当是主持单位的全职工作人员</w:t>
      </w:r>
      <w:r>
        <w:rPr>
          <w:rFonts w:ascii="Nimbus Roman No9 L" w:eastAsia="仿宋_GB2312" w:hAnsi="Nimbus Roman No9 L" w:cs="仿宋_GB2312"/>
          <w:kern w:val="0"/>
          <w:sz w:val="32"/>
          <w:szCs w:val="32"/>
          <w:lang w:val="en"/>
        </w:rPr>
        <w:t>;</w:t>
      </w:r>
    </w:p>
    <w:p w:rsidR="00B401E5" w:rsidRDefault="00B401E5" w:rsidP="00B401E5">
      <w:pPr>
        <w:adjustRightInd w:val="0"/>
        <w:snapToGrid w:val="0"/>
        <w:spacing w:line="560" w:lineRule="exact"/>
        <w:ind w:firstLine="640"/>
        <w:jc w:val="left"/>
        <w:rPr>
          <w:rFonts w:ascii="Nimbus Roman No9 L" w:eastAsia="仿宋_GB2312" w:hAnsi="Nimbus Roman No9 L" w:cs="仿宋_GB2312"/>
          <w:kern w:val="0"/>
          <w:sz w:val="32"/>
          <w:szCs w:val="32"/>
          <w:lang w:val="en"/>
        </w:rPr>
      </w:pPr>
      <w:r>
        <w:rPr>
          <w:rFonts w:ascii="Nimbus Roman No9 L" w:eastAsia="仿宋_GB2312" w:hAnsi="Nimbus Roman No9 L" w:cs="仿宋_GB2312"/>
          <w:kern w:val="0"/>
          <w:sz w:val="32"/>
          <w:szCs w:val="32"/>
          <w:lang w:val="en"/>
        </w:rPr>
        <w:t>6.</w:t>
      </w:r>
      <w:r>
        <w:rPr>
          <w:rFonts w:ascii="Nimbus Roman No9 L" w:eastAsia="仿宋_GB2312" w:hAnsi="Nimbus Roman No9 L" w:cs="仿宋_GB2312" w:hint="eastAsia"/>
          <w:kern w:val="0"/>
          <w:sz w:val="32"/>
          <w:szCs w:val="32"/>
          <w:lang w:val="en"/>
        </w:rPr>
        <w:t>医疗机构外的科研院所、大专院校、行业学（协）会等相关机构的从事药学相关工作人员，在我区依法注册、具有独立民事能力、征信状况良好，具有开展药品临床综合评价专业能力和工作基础的，可联合医疗机构</w:t>
      </w:r>
      <w:r>
        <w:rPr>
          <w:rFonts w:ascii="Nimbus Roman No9 L" w:eastAsia="仿宋_GB2312" w:hAnsi="Nimbus Roman No9 L" w:cs="仿宋_GB2312" w:hint="eastAsia"/>
          <w:color w:val="000000"/>
          <w:kern w:val="0"/>
          <w:sz w:val="32"/>
          <w:szCs w:val="32"/>
          <w:lang w:val="en"/>
        </w:rPr>
        <w:t>申报（申报多中心合作项目应当在项目申报书中明确各方参与的研究分工，数据共享机制，质</w:t>
      </w:r>
      <w:proofErr w:type="gramStart"/>
      <w:r>
        <w:rPr>
          <w:rFonts w:ascii="Nimbus Roman No9 L" w:eastAsia="仿宋_GB2312" w:hAnsi="Nimbus Roman No9 L" w:cs="仿宋_GB2312" w:hint="eastAsia"/>
          <w:color w:val="000000"/>
          <w:kern w:val="0"/>
          <w:sz w:val="32"/>
          <w:szCs w:val="32"/>
          <w:lang w:val="en"/>
        </w:rPr>
        <w:t>控方案</w:t>
      </w:r>
      <w:proofErr w:type="gramEnd"/>
      <w:r>
        <w:rPr>
          <w:rFonts w:ascii="Nimbus Roman No9 L" w:eastAsia="仿宋_GB2312" w:hAnsi="Nimbus Roman No9 L" w:cs="仿宋_GB2312" w:hint="eastAsia"/>
          <w:color w:val="000000"/>
          <w:kern w:val="0"/>
          <w:sz w:val="32"/>
          <w:szCs w:val="32"/>
          <w:lang w:val="en"/>
        </w:rPr>
        <w:t>及知识产权归属约定）。</w:t>
      </w:r>
    </w:p>
    <w:p w:rsidR="00B401E5" w:rsidRDefault="00B401E5" w:rsidP="00B401E5">
      <w:pPr>
        <w:adjustRightInd w:val="0"/>
        <w:snapToGrid w:val="0"/>
        <w:spacing w:line="560" w:lineRule="exact"/>
        <w:jc w:val="left"/>
        <w:rPr>
          <w:rFonts w:ascii="Nimbus Roman No9 L" w:eastAsia="仿宋_GB2312" w:hAnsi="Nimbus Roman No9 L"/>
          <w:color w:val="0C0C0C"/>
          <w:kern w:val="0"/>
          <w:sz w:val="32"/>
          <w:szCs w:val="32"/>
        </w:rPr>
      </w:pPr>
      <w:r>
        <w:rPr>
          <w:rFonts w:ascii="Nimbus Roman No9 L" w:eastAsia="仿宋_GB2312" w:hAnsi="Nimbus Roman No9 L" w:cs="仿宋_GB2312" w:hint="eastAsia"/>
          <w:kern w:val="0"/>
          <w:sz w:val="32"/>
          <w:szCs w:val="32"/>
        </w:rPr>
        <w:t xml:space="preserve">    </w:t>
      </w:r>
      <w:r>
        <w:rPr>
          <w:rFonts w:ascii="楷体" w:eastAsia="楷体" w:hAnsi="楷体" w:cs="楷体" w:hint="eastAsia"/>
          <w:color w:val="0C0C0C"/>
          <w:kern w:val="0"/>
          <w:sz w:val="32"/>
          <w:szCs w:val="32"/>
        </w:rPr>
        <w:t>（二）申报限制。</w:t>
      </w:r>
    </w:p>
    <w:p w:rsidR="00B401E5" w:rsidRDefault="00B401E5" w:rsidP="00B401E5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/>
          <w:kern w:val="0"/>
          <w:sz w:val="32"/>
          <w:szCs w:val="32"/>
        </w:rPr>
      </w:pPr>
      <w:r>
        <w:rPr>
          <w:rFonts w:ascii="Nimbus Roman No9 L" w:eastAsia="仿宋_GB2312" w:hAnsi="Nimbus Roman No9 L" w:hint="eastAsia"/>
          <w:kern w:val="0"/>
          <w:sz w:val="32"/>
          <w:szCs w:val="32"/>
        </w:rPr>
        <w:t>1.</w:t>
      </w:r>
      <w:r>
        <w:rPr>
          <w:rFonts w:ascii="Nimbus Roman No9 L" w:eastAsia="仿宋_GB2312" w:hAnsi="Nimbus Roman No9 L"/>
          <w:kern w:val="0"/>
          <w:sz w:val="32"/>
          <w:szCs w:val="32"/>
        </w:rPr>
        <w:t>每个项目申报单位申报的项目数不得超过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5</w:t>
      </w:r>
      <w:r>
        <w:rPr>
          <w:rFonts w:ascii="Nimbus Roman No9 L" w:eastAsia="仿宋_GB2312" w:hAnsi="Nimbus Roman No9 L"/>
          <w:kern w:val="0"/>
          <w:sz w:val="32"/>
          <w:szCs w:val="32"/>
        </w:rPr>
        <w:t>项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（</w:t>
      </w:r>
      <w:r>
        <w:rPr>
          <w:rFonts w:ascii="Nimbus Roman No9 L" w:eastAsia="仿宋_GB2312" w:hAnsi="Nimbus Roman No9 L"/>
          <w:kern w:val="0"/>
          <w:sz w:val="32"/>
          <w:szCs w:val="32"/>
        </w:rPr>
        <w:t>含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5</w:t>
      </w:r>
      <w:r>
        <w:rPr>
          <w:rFonts w:ascii="Nimbus Roman No9 L" w:eastAsia="仿宋_GB2312" w:hAnsi="Nimbus Roman No9 L"/>
          <w:kern w:val="0"/>
          <w:sz w:val="32"/>
          <w:szCs w:val="32"/>
        </w:rPr>
        <w:t>项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）</w:t>
      </w:r>
      <w:r>
        <w:rPr>
          <w:rFonts w:ascii="Nimbus Roman No9 L" w:eastAsia="仿宋_GB2312" w:hAnsi="Nimbus Roman No9 L"/>
          <w:kern w:val="0"/>
          <w:sz w:val="32"/>
          <w:szCs w:val="32"/>
        </w:rPr>
        <w:t>；</w:t>
      </w:r>
    </w:p>
    <w:p w:rsidR="00B401E5" w:rsidRDefault="00B401E5" w:rsidP="00B401E5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 w:hint="eastAsia"/>
          <w:kern w:val="0"/>
          <w:sz w:val="32"/>
          <w:szCs w:val="32"/>
        </w:rPr>
      </w:pPr>
      <w:r>
        <w:rPr>
          <w:rFonts w:ascii="Nimbus Roman No9 L" w:eastAsia="仿宋_GB2312" w:hAnsi="Nimbus Roman No9 L" w:hint="eastAsia"/>
          <w:kern w:val="0"/>
          <w:sz w:val="32"/>
          <w:szCs w:val="32"/>
        </w:rPr>
        <w:t>2.</w:t>
      </w:r>
      <w:r>
        <w:rPr>
          <w:rFonts w:ascii="Nimbus Roman No9 L" w:eastAsia="仿宋_GB2312" w:hAnsi="Nimbus Roman No9 L"/>
          <w:kern w:val="0"/>
          <w:sz w:val="32"/>
          <w:szCs w:val="32"/>
        </w:rPr>
        <w:t>每位项目申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报</w:t>
      </w:r>
      <w:r>
        <w:rPr>
          <w:rFonts w:ascii="Nimbus Roman No9 L" w:eastAsia="仿宋_GB2312" w:hAnsi="Nimbus Roman No9 L"/>
          <w:kern w:val="0"/>
          <w:sz w:val="32"/>
          <w:szCs w:val="32"/>
        </w:rPr>
        <w:t>人仅限申报</w:t>
      </w:r>
      <w:r>
        <w:rPr>
          <w:rFonts w:ascii="Nimbus Roman No9 L" w:eastAsia="仿宋_GB2312" w:hAnsi="Nimbus Roman No9 L"/>
          <w:kern w:val="0"/>
          <w:sz w:val="32"/>
          <w:szCs w:val="32"/>
        </w:rPr>
        <w:t>1</w:t>
      </w:r>
      <w:r>
        <w:rPr>
          <w:rFonts w:ascii="Nimbus Roman No9 L" w:eastAsia="仿宋_GB2312" w:hAnsi="Nimbus Roman No9 L"/>
          <w:kern w:val="0"/>
          <w:sz w:val="32"/>
          <w:szCs w:val="32"/>
        </w:rPr>
        <w:t>个项目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；</w:t>
      </w:r>
    </w:p>
    <w:p w:rsidR="00B401E5" w:rsidRDefault="00B401E5" w:rsidP="00B401E5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 w:hint="eastAsia"/>
          <w:kern w:val="0"/>
          <w:sz w:val="32"/>
          <w:szCs w:val="32"/>
        </w:rPr>
      </w:pPr>
      <w:r>
        <w:rPr>
          <w:rFonts w:ascii="Nimbus Roman No9 L" w:eastAsia="仿宋_GB2312" w:hAnsi="Nimbus Roman No9 L" w:hint="eastAsia"/>
          <w:kern w:val="0"/>
          <w:sz w:val="32"/>
          <w:szCs w:val="32"/>
        </w:rPr>
        <w:t>3.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项目申报单位、合作单位、研究团队成员</w:t>
      </w:r>
      <w:proofErr w:type="gramStart"/>
      <w:r>
        <w:rPr>
          <w:rFonts w:ascii="Nimbus Roman No9 L" w:eastAsia="仿宋_GB2312" w:hAnsi="Nimbus Roman No9 L" w:hint="eastAsia"/>
          <w:kern w:val="0"/>
          <w:sz w:val="32"/>
          <w:szCs w:val="32"/>
        </w:rPr>
        <w:t>无科研</w:t>
      </w:r>
      <w:proofErr w:type="gramEnd"/>
      <w:r>
        <w:rPr>
          <w:rFonts w:ascii="Nimbus Roman No9 L" w:eastAsia="仿宋_GB2312" w:hAnsi="Nimbus Roman No9 L" w:hint="eastAsia"/>
          <w:kern w:val="0"/>
          <w:sz w:val="32"/>
          <w:szCs w:val="32"/>
        </w:rPr>
        <w:t>失信行为或相关社会领域失信记录。</w:t>
      </w:r>
    </w:p>
    <w:p w:rsidR="00B401E5" w:rsidRDefault="00B401E5" w:rsidP="00B401E5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/>
          <w:kern w:val="0"/>
          <w:sz w:val="32"/>
          <w:szCs w:val="32"/>
        </w:rPr>
      </w:pPr>
      <w:r>
        <w:rPr>
          <w:rFonts w:ascii="Nimbus Roman No9 L" w:eastAsia="仿宋_GB2312" w:hAnsi="Nimbus Roman No9 L" w:hint="eastAsia"/>
          <w:kern w:val="0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已在其他平台申报的同内容项目不得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重复</w:t>
      </w:r>
      <w:r>
        <w:rPr>
          <w:rFonts w:ascii="Times New Roman" w:eastAsia="仿宋_GB2312" w:hAnsi="Times New Roman" w:hint="eastAsia"/>
          <w:sz w:val="32"/>
          <w:szCs w:val="32"/>
        </w:rPr>
        <w:t>立项。</w:t>
      </w:r>
    </w:p>
    <w:p w:rsidR="00B401E5" w:rsidRDefault="00B401E5" w:rsidP="00B401E5">
      <w:pPr>
        <w:numPr>
          <w:ilvl w:val="0"/>
          <w:numId w:val="2"/>
        </w:numPr>
        <w:adjustRightInd w:val="0"/>
        <w:snapToGrid w:val="0"/>
        <w:spacing w:line="560" w:lineRule="exact"/>
        <w:ind w:firstLineChars="200" w:firstLine="640"/>
        <w:rPr>
          <w:rFonts w:ascii="楷体" w:eastAsia="楷体" w:hAnsi="楷体" w:cs="楷体" w:hint="eastAsia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申报时限。</w:t>
      </w:r>
    </w:p>
    <w:p w:rsidR="00B401E5" w:rsidRDefault="00B401E5" w:rsidP="00B401E5">
      <w:pPr>
        <w:adjustRightInd w:val="0"/>
        <w:snapToGrid w:val="0"/>
        <w:spacing w:line="560" w:lineRule="exact"/>
        <w:ind w:firstLine="640"/>
        <w:rPr>
          <w:rFonts w:ascii="Nimbus Roman No9 L" w:eastAsia="仿宋_GB2312" w:hAnsi="Nimbus Roman No9 L" w:hint="eastAsia"/>
          <w:kern w:val="0"/>
          <w:sz w:val="32"/>
          <w:szCs w:val="32"/>
        </w:rPr>
      </w:pPr>
      <w:r>
        <w:rPr>
          <w:rFonts w:ascii="Nimbus Roman No9 L" w:eastAsia="仿宋_GB2312" w:hAnsi="Nimbus Roman No9 L" w:hint="eastAsia"/>
          <w:kern w:val="0"/>
          <w:sz w:val="32"/>
          <w:szCs w:val="32"/>
        </w:rPr>
        <w:t>申报时间为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2026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年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3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月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xx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日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-2026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年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4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月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xx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日。</w:t>
      </w:r>
    </w:p>
    <w:p w:rsidR="00B401E5" w:rsidRDefault="00B401E5" w:rsidP="00B401E5">
      <w:pPr>
        <w:adjustRightInd w:val="0"/>
        <w:snapToGrid w:val="0"/>
        <w:spacing w:line="560" w:lineRule="exact"/>
        <w:rPr>
          <w:rFonts w:ascii="Nimbus Roman No9 L" w:eastAsia="方正黑体简体" w:hAnsi="Nimbus Roman No9 L" w:hint="eastAsia"/>
          <w:kern w:val="0"/>
          <w:sz w:val="32"/>
          <w:szCs w:val="32"/>
        </w:rPr>
      </w:pPr>
      <w:r>
        <w:rPr>
          <w:rFonts w:ascii="Nimbus Roman No9 L" w:eastAsia="方正黑体简体" w:hAnsi="Nimbus Roman No9 L" w:hint="eastAsia"/>
          <w:kern w:val="0"/>
          <w:sz w:val="32"/>
          <w:szCs w:val="32"/>
        </w:rPr>
        <w:t xml:space="preserve">    </w:t>
      </w:r>
      <w:r>
        <w:rPr>
          <w:rFonts w:ascii="Nimbus Roman No9 L" w:eastAsia="方正黑体简体" w:hAnsi="Nimbus Roman No9 L" w:hint="eastAsia"/>
          <w:kern w:val="0"/>
          <w:sz w:val="32"/>
          <w:szCs w:val="32"/>
        </w:rPr>
        <w:t>六、申报程序</w:t>
      </w:r>
    </w:p>
    <w:p w:rsidR="00B401E5" w:rsidRDefault="00B401E5" w:rsidP="00B401E5">
      <w:pPr>
        <w:adjustRightInd w:val="0"/>
        <w:snapToGrid w:val="0"/>
        <w:spacing w:line="560" w:lineRule="exact"/>
        <w:rPr>
          <w:rFonts w:ascii="Nimbus Roman No9 L" w:eastAsia="仿宋_GB2312" w:hAnsi="Nimbus Roman No9 L" w:hint="eastAsia"/>
          <w:kern w:val="0"/>
          <w:sz w:val="32"/>
          <w:szCs w:val="32"/>
        </w:rPr>
      </w:pPr>
      <w:r>
        <w:rPr>
          <w:rFonts w:ascii="Nimbus Roman No9 L" w:eastAsia="仿宋_GB2312" w:hAnsi="Nimbus Roman No9 L" w:hint="eastAsia"/>
          <w:kern w:val="0"/>
          <w:sz w:val="32"/>
          <w:szCs w:val="32"/>
        </w:rPr>
        <w:t xml:space="preserve">    </w:t>
      </w:r>
      <w:r>
        <w:rPr>
          <w:rFonts w:ascii="楷体" w:eastAsia="楷体" w:hAnsi="楷体" w:cs="楷体" w:hint="eastAsia"/>
          <w:kern w:val="0"/>
          <w:sz w:val="32"/>
          <w:szCs w:val="32"/>
        </w:rPr>
        <w:t>（一）发布指南。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由自治区卫生健康委印发申报通知。</w:t>
      </w:r>
    </w:p>
    <w:p w:rsidR="00B401E5" w:rsidRDefault="00B401E5" w:rsidP="00B401E5">
      <w:pPr>
        <w:adjustRightInd w:val="0"/>
        <w:snapToGrid w:val="0"/>
        <w:spacing w:line="560" w:lineRule="exact"/>
        <w:rPr>
          <w:rFonts w:ascii="Nimbus Roman No9 L" w:eastAsia="仿宋_GB2312" w:hAnsi="Nimbus Roman No9 L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 xml:space="preserve">    （二）个人申报。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项目申报人在申报时限内，通过本人所在单位按要求申报。</w:t>
      </w:r>
    </w:p>
    <w:p w:rsidR="00B401E5" w:rsidRDefault="00B401E5" w:rsidP="00B401E5">
      <w:pPr>
        <w:adjustRightInd w:val="0"/>
        <w:snapToGrid w:val="0"/>
        <w:spacing w:line="560" w:lineRule="exact"/>
        <w:rPr>
          <w:rFonts w:ascii="Nimbus Roman No9 L" w:eastAsia="仿宋_GB2312" w:hAnsi="Nimbus Roman No9 L"/>
          <w:kern w:val="0"/>
          <w:sz w:val="32"/>
          <w:szCs w:val="32"/>
        </w:rPr>
      </w:pPr>
      <w:r>
        <w:rPr>
          <w:rFonts w:ascii="Nimbus Roman No9 L" w:eastAsia="仿宋_GB2312" w:hAnsi="Nimbus Roman No9 L" w:hint="eastAsia"/>
          <w:kern w:val="0"/>
          <w:sz w:val="32"/>
          <w:szCs w:val="32"/>
        </w:rPr>
        <w:t xml:space="preserve">    </w:t>
      </w:r>
      <w:r>
        <w:rPr>
          <w:rFonts w:ascii="楷体" w:eastAsia="楷体" w:hAnsi="楷体" w:cs="楷体" w:hint="eastAsia"/>
          <w:kern w:val="0"/>
          <w:sz w:val="32"/>
          <w:szCs w:val="32"/>
        </w:rPr>
        <w:t>（三）单位审核。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项目主持单位按照申报指南，对申报材料进行审核，确保材料真实性、完整性、合</w:t>
      </w:r>
      <w:proofErr w:type="gramStart"/>
      <w:r>
        <w:rPr>
          <w:rFonts w:ascii="Nimbus Roman No9 L" w:eastAsia="仿宋_GB2312" w:hAnsi="Nimbus Roman No9 L" w:hint="eastAsia"/>
          <w:kern w:val="0"/>
          <w:sz w:val="32"/>
          <w:szCs w:val="32"/>
        </w:rPr>
        <w:t>规</w:t>
      </w:r>
      <w:proofErr w:type="gramEnd"/>
      <w:r>
        <w:rPr>
          <w:rFonts w:ascii="Nimbus Roman No9 L" w:eastAsia="仿宋_GB2312" w:hAnsi="Nimbus Roman No9 L" w:hint="eastAsia"/>
          <w:kern w:val="0"/>
          <w:sz w:val="32"/>
          <w:szCs w:val="32"/>
        </w:rPr>
        <w:t>性，签署审核意见后推荐项目。</w:t>
      </w:r>
    </w:p>
    <w:p w:rsidR="00B401E5" w:rsidRDefault="00B401E5" w:rsidP="00B401E5">
      <w:pPr>
        <w:adjustRightInd w:val="0"/>
        <w:snapToGrid w:val="0"/>
        <w:spacing w:line="560" w:lineRule="exact"/>
        <w:rPr>
          <w:rFonts w:ascii="Nimbus Roman No9 L" w:eastAsia="仿宋_GB2312" w:hAnsi="Nimbus Roman No9 L"/>
          <w:kern w:val="0"/>
          <w:sz w:val="32"/>
          <w:szCs w:val="32"/>
        </w:rPr>
      </w:pPr>
      <w:r>
        <w:rPr>
          <w:rFonts w:ascii="Nimbus Roman No9 L" w:eastAsia="仿宋_GB2312" w:hAnsi="Nimbus Roman No9 L" w:hint="eastAsia"/>
          <w:kern w:val="0"/>
          <w:sz w:val="32"/>
          <w:szCs w:val="32"/>
        </w:rPr>
        <w:t xml:space="preserve">    </w:t>
      </w:r>
      <w:r>
        <w:rPr>
          <w:rFonts w:ascii="楷体" w:eastAsia="楷体" w:hAnsi="楷体" w:cs="楷体" w:hint="eastAsia"/>
          <w:kern w:val="0"/>
          <w:sz w:val="32"/>
          <w:szCs w:val="32"/>
        </w:rPr>
        <w:t>（四）主管部门推荐。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地（州、市）卫生健康委对所辖单位提交的申报材料初步审核、对审核通过的项目进行推荐；委直属直管单位、自治区级单位向自治区卫生健康委提交材料。</w:t>
      </w:r>
    </w:p>
    <w:p w:rsidR="00B401E5" w:rsidRDefault="00B401E5" w:rsidP="00B401E5">
      <w:pPr>
        <w:adjustRightInd w:val="0"/>
        <w:snapToGrid w:val="0"/>
        <w:spacing w:line="560" w:lineRule="exact"/>
        <w:rPr>
          <w:rFonts w:ascii="Nimbus Roman No9 L" w:eastAsia="仿宋_GB2312" w:hAnsi="Nimbus Roman No9 L" w:hint="eastAsia"/>
          <w:color w:val="FF0000"/>
          <w:kern w:val="0"/>
          <w:sz w:val="32"/>
          <w:szCs w:val="32"/>
        </w:rPr>
      </w:pPr>
      <w:r>
        <w:rPr>
          <w:rFonts w:ascii="Nimbus Roman No9 L" w:eastAsia="仿宋_GB2312" w:hAnsi="Nimbus Roman No9 L" w:hint="eastAsia"/>
          <w:color w:val="FF0000"/>
          <w:kern w:val="0"/>
          <w:sz w:val="32"/>
          <w:szCs w:val="32"/>
        </w:rPr>
        <w:t xml:space="preserve">    </w:t>
      </w:r>
      <w:r>
        <w:rPr>
          <w:rFonts w:ascii="楷体" w:eastAsia="楷体" w:hAnsi="楷体" w:cs="楷体" w:hint="eastAsia"/>
          <w:kern w:val="0"/>
          <w:sz w:val="32"/>
          <w:szCs w:val="32"/>
        </w:rPr>
        <w:t>（五）专家评审。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自治区卫生健康委组织专家对推荐项目进行立项评审，</w:t>
      </w:r>
      <w:r>
        <w:rPr>
          <w:rFonts w:ascii="Times New Roman" w:eastAsia="仿宋_GB2312" w:hAnsi="Times New Roman" w:hint="eastAsia"/>
          <w:sz w:val="32"/>
          <w:szCs w:val="32"/>
        </w:rPr>
        <w:t>项目负责人务必参加现场答辩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。</w:t>
      </w:r>
    </w:p>
    <w:p w:rsidR="00B401E5" w:rsidRDefault="00B401E5" w:rsidP="00B401E5">
      <w:pPr>
        <w:adjustRightInd w:val="0"/>
        <w:snapToGrid w:val="0"/>
        <w:spacing w:line="560" w:lineRule="exact"/>
        <w:rPr>
          <w:rFonts w:ascii="Nimbus Roman No9 L" w:eastAsia="仿宋_GB2312" w:hAnsi="Nimbus Roman No9 L" w:hint="eastAsia"/>
          <w:kern w:val="0"/>
          <w:sz w:val="32"/>
          <w:szCs w:val="32"/>
        </w:rPr>
      </w:pPr>
      <w:r>
        <w:rPr>
          <w:rFonts w:ascii="Nimbus Roman No9 L" w:eastAsia="仿宋_GB2312" w:hAnsi="Nimbus Roman No9 L" w:hint="eastAsia"/>
          <w:color w:val="FF0000"/>
          <w:kern w:val="0"/>
          <w:sz w:val="32"/>
          <w:szCs w:val="32"/>
        </w:rPr>
        <w:t xml:space="preserve">    </w:t>
      </w:r>
      <w:r>
        <w:rPr>
          <w:rFonts w:ascii="楷体" w:eastAsia="楷体" w:hAnsi="楷体" w:cs="楷体" w:hint="eastAsia"/>
          <w:kern w:val="0"/>
          <w:sz w:val="32"/>
          <w:szCs w:val="32"/>
        </w:rPr>
        <w:t>（六）项目立项。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自治区卫生健康委根据有关规定和专家评审会议结果，结合自治区药品供应保障体系建设规划和工作实际拟定立项名单，提请自治区卫生健康委党组会议审议通过后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在官网公示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公示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5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个工作日无异议后印发立项通知。</w:t>
      </w:r>
    </w:p>
    <w:p w:rsidR="00B401E5" w:rsidRDefault="00B401E5" w:rsidP="00B401E5">
      <w:pPr>
        <w:adjustRightInd w:val="0"/>
        <w:snapToGrid w:val="0"/>
        <w:spacing w:line="560" w:lineRule="exact"/>
        <w:ind w:firstLine="640"/>
        <w:rPr>
          <w:rFonts w:ascii="Nimbus Roman No9 L" w:eastAsia="仿宋_GB2312" w:hAnsi="Nimbus Roman No9 L" w:hint="eastAsia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（七）签订合同。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项目负责人收到立项通知后，签订自治区药品临床综合评价项目合同书。</w:t>
      </w:r>
    </w:p>
    <w:p w:rsidR="00B401E5" w:rsidRDefault="00B401E5" w:rsidP="00B401E5">
      <w:pPr>
        <w:widowControl/>
        <w:spacing w:line="560" w:lineRule="exact"/>
        <w:ind w:firstLineChars="200" w:firstLine="640"/>
        <w:rPr>
          <w:rFonts w:ascii="Nimbus Roman No9 L" w:eastAsia="仿宋_GB2312" w:hAnsi="Nimbus Roman No9 L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（八）项目结题。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应具有相应支撑材料及成果产出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B401E5" w:rsidRDefault="00B401E5" w:rsidP="00B401E5">
      <w:pPr>
        <w:adjustRightInd w:val="0"/>
        <w:snapToGrid w:val="0"/>
        <w:spacing w:line="560" w:lineRule="exact"/>
        <w:ind w:firstLineChars="200" w:firstLine="640"/>
        <w:rPr>
          <w:rFonts w:ascii="Nimbus Roman No9 L" w:eastAsia="方正黑体简体" w:hAnsi="Nimbus Roman No9 L"/>
          <w:kern w:val="0"/>
          <w:sz w:val="32"/>
          <w:szCs w:val="32"/>
        </w:rPr>
      </w:pPr>
      <w:r>
        <w:rPr>
          <w:rFonts w:ascii="Nimbus Roman No9 L" w:eastAsia="方正黑体简体" w:hAnsi="Nimbus Roman No9 L" w:hint="eastAsia"/>
          <w:kern w:val="0"/>
          <w:sz w:val="32"/>
          <w:szCs w:val="32"/>
        </w:rPr>
        <w:t>七</w:t>
      </w:r>
      <w:r>
        <w:rPr>
          <w:rFonts w:ascii="Nimbus Roman No9 L" w:eastAsia="方正黑体简体" w:hAnsi="Nimbus Roman No9 L"/>
          <w:kern w:val="0"/>
          <w:sz w:val="32"/>
          <w:szCs w:val="32"/>
        </w:rPr>
        <w:t>、报送材料</w:t>
      </w:r>
    </w:p>
    <w:p w:rsidR="00B401E5" w:rsidRDefault="00B401E5" w:rsidP="00B401E5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/>
          <w:kern w:val="0"/>
          <w:sz w:val="32"/>
          <w:szCs w:val="32"/>
        </w:rPr>
      </w:pPr>
      <w:r>
        <w:rPr>
          <w:rFonts w:ascii="Nimbus Roman No9 L" w:eastAsia="仿宋_GB2312" w:hAnsi="Nimbus Roman No9 L"/>
          <w:kern w:val="0"/>
          <w:sz w:val="32"/>
          <w:szCs w:val="32"/>
        </w:rPr>
        <w:t>（一）项目申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报</w:t>
      </w:r>
      <w:r>
        <w:rPr>
          <w:rFonts w:ascii="Nimbus Roman No9 L" w:eastAsia="仿宋_GB2312" w:hAnsi="Nimbus Roman No9 L"/>
          <w:kern w:val="0"/>
          <w:sz w:val="32"/>
          <w:szCs w:val="32"/>
        </w:rPr>
        <w:t>书及有关材料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纸质版</w:t>
      </w:r>
      <w:r>
        <w:rPr>
          <w:rFonts w:ascii="Nimbus Roman No9 L" w:eastAsia="仿宋_GB2312" w:hAnsi="Nimbus Roman No9 L"/>
          <w:kern w:val="0"/>
          <w:sz w:val="32"/>
          <w:szCs w:val="32"/>
        </w:rPr>
        <w:t>一式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3</w:t>
      </w:r>
      <w:r>
        <w:rPr>
          <w:rFonts w:ascii="Nimbus Roman No9 L" w:eastAsia="仿宋_GB2312" w:hAnsi="Nimbus Roman No9 L"/>
          <w:kern w:val="0"/>
          <w:sz w:val="32"/>
          <w:szCs w:val="32"/>
        </w:rPr>
        <w:t>份。</w:t>
      </w:r>
    </w:p>
    <w:p w:rsidR="00B401E5" w:rsidRDefault="00B401E5" w:rsidP="00B401E5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/>
          <w:kern w:val="0"/>
          <w:sz w:val="32"/>
          <w:szCs w:val="32"/>
        </w:rPr>
      </w:pPr>
      <w:r>
        <w:rPr>
          <w:rFonts w:ascii="Nimbus Roman No9 L" w:eastAsia="仿宋_GB2312" w:hAnsi="Nimbus Roman No9 L"/>
          <w:kern w:val="0"/>
          <w:sz w:val="32"/>
          <w:szCs w:val="32"/>
        </w:rPr>
        <w:t>（二）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委直属直管单位、</w:t>
      </w:r>
      <w:r>
        <w:rPr>
          <w:rFonts w:ascii="Nimbus Roman No9 L" w:eastAsia="仿宋_GB2312" w:hAnsi="Nimbus Roman No9 L"/>
          <w:sz w:val="32"/>
          <w:szCs w:val="32"/>
        </w:rPr>
        <w:t>各</w:t>
      </w:r>
      <w:r>
        <w:rPr>
          <w:rFonts w:ascii="Nimbus Roman No9 L" w:eastAsia="仿宋_GB2312" w:hAnsi="Nimbus Roman No9 L" w:hint="eastAsia"/>
          <w:sz w:val="32"/>
          <w:szCs w:val="32"/>
        </w:rPr>
        <w:t>地（州、市）卫生健康委</w:t>
      </w:r>
      <w:r>
        <w:rPr>
          <w:rFonts w:ascii="Nimbus Roman No9 L" w:eastAsia="仿宋_GB2312" w:hAnsi="Nimbus Roman No9 L"/>
          <w:sz w:val="32"/>
          <w:szCs w:val="32"/>
        </w:rPr>
        <w:t>负责对本单位或</w:t>
      </w:r>
      <w:r>
        <w:rPr>
          <w:rFonts w:ascii="Nimbus Roman No9 L" w:eastAsia="仿宋_GB2312" w:hAnsi="Nimbus Roman No9 L" w:hint="eastAsia"/>
          <w:sz w:val="32"/>
          <w:szCs w:val="32"/>
        </w:rPr>
        <w:t>辖区机构</w:t>
      </w:r>
      <w:r>
        <w:rPr>
          <w:rFonts w:ascii="Nimbus Roman No9 L" w:eastAsia="仿宋_GB2312" w:hAnsi="Nimbus Roman No9 L"/>
          <w:sz w:val="32"/>
          <w:szCs w:val="32"/>
        </w:rPr>
        <w:t>申报的项目按规定进行</w:t>
      </w:r>
      <w:r>
        <w:rPr>
          <w:rFonts w:ascii="Nimbus Roman No9 L" w:eastAsia="仿宋_GB2312" w:hAnsi="Nimbus Roman No9 L" w:hint="eastAsia"/>
          <w:sz w:val="32"/>
          <w:szCs w:val="32"/>
        </w:rPr>
        <w:t>遴选推荐</w:t>
      </w:r>
      <w:r>
        <w:rPr>
          <w:rFonts w:ascii="Nimbus Roman No9 L" w:eastAsia="仿宋_GB2312" w:hAnsi="Nimbus Roman No9 L"/>
          <w:sz w:val="32"/>
          <w:szCs w:val="32"/>
        </w:rPr>
        <w:t>汇总，</w:t>
      </w:r>
      <w:r>
        <w:rPr>
          <w:rFonts w:ascii="Nimbus Roman No9 L" w:eastAsia="仿宋_GB2312" w:hAnsi="Nimbus Roman No9 L"/>
          <w:kern w:val="0"/>
          <w:sz w:val="32"/>
          <w:szCs w:val="32"/>
        </w:rPr>
        <w:t>并将项目申报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相关材料</w:t>
      </w:r>
      <w:r>
        <w:rPr>
          <w:rFonts w:ascii="Nimbus Roman No9 L" w:eastAsia="仿宋_GB2312" w:hAnsi="Nimbus Roman No9 L"/>
          <w:kern w:val="0"/>
          <w:sz w:val="32"/>
          <w:szCs w:val="32"/>
        </w:rPr>
        <w:t>报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自治区卫生健康</w:t>
      </w:r>
      <w:r>
        <w:rPr>
          <w:rFonts w:ascii="Nimbus Roman No9 L" w:eastAsia="仿宋_GB2312" w:hAnsi="Nimbus Roman No9 L"/>
          <w:kern w:val="0"/>
          <w:sz w:val="32"/>
          <w:szCs w:val="32"/>
        </w:rPr>
        <w:t>委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药政处</w:t>
      </w:r>
      <w:r>
        <w:rPr>
          <w:rFonts w:ascii="Nimbus Roman No9 L" w:eastAsia="仿宋_GB2312" w:hAnsi="Nimbus Roman No9 L"/>
          <w:kern w:val="0"/>
          <w:sz w:val="32"/>
          <w:szCs w:val="32"/>
        </w:rPr>
        <w:t>，电子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版（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PDF</w:t>
      </w:r>
      <w:r>
        <w:rPr>
          <w:rFonts w:ascii="Nimbus Roman No9 L" w:eastAsia="仿宋_GB2312" w:hAnsi="Nimbus Roman No9 L" w:hint="eastAsia"/>
          <w:kern w:val="0"/>
          <w:sz w:val="32"/>
          <w:szCs w:val="32"/>
        </w:rPr>
        <w:t>盖章版）</w:t>
      </w:r>
      <w:r>
        <w:rPr>
          <w:rFonts w:ascii="Nimbus Roman No9 L" w:eastAsia="仿宋_GB2312" w:hAnsi="Nimbus Roman No9 L"/>
          <w:kern w:val="0"/>
          <w:sz w:val="32"/>
          <w:szCs w:val="32"/>
        </w:rPr>
        <w:t>发至指定邮箱。</w:t>
      </w:r>
    </w:p>
    <w:p w:rsidR="00B401E5" w:rsidRDefault="00B401E5" w:rsidP="00B401E5">
      <w:pPr>
        <w:adjustRightInd w:val="0"/>
        <w:snapToGrid w:val="0"/>
        <w:spacing w:line="560" w:lineRule="exact"/>
        <w:ind w:firstLineChars="200" w:firstLine="640"/>
        <w:rPr>
          <w:rFonts w:ascii="Nimbus Roman No9 L" w:eastAsia="方正黑体简体" w:hAnsi="Nimbus Roman No9 L" w:hint="eastAsia"/>
          <w:kern w:val="0"/>
          <w:sz w:val="32"/>
          <w:szCs w:val="32"/>
        </w:rPr>
      </w:pPr>
      <w:r>
        <w:rPr>
          <w:rFonts w:ascii="Nimbus Roman No9 L" w:eastAsia="方正黑体简体" w:hAnsi="Nimbus Roman No9 L" w:hint="eastAsia"/>
          <w:kern w:val="0"/>
          <w:sz w:val="32"/>
          <w:szCs w:val="32"/>
        </w:rPr>
        <w:t>八、其他要求</w:t>
      </w:r>
    </w:p>
    <w:p w:rsidR="00B401E5" w:rsidRDefault="00B401E5" w:rsidP="00B401E5">
      <w:pPr>
        <w:adjustRightInd w:val="0"/>
        <w:snapToGrid w:val="0"/>
        <w:spacing w:line="560" w:lineRule="exact"/>
        <w:ind w:firstLineChars="200" w:firstLine="640"/>
        <w:rPr>
          <w:rFonts w:ascii="Nimbus Roman No9 L" w:eastAsia="仿宋_GB2312" w:hAnsi="Nimbus Roman No9 L" w:hint="eastAsia"/>
          <w:kern w:val="0"/>
          <w:sz w:val="32"/>
          <w:szCs w:val="32"/>
        </w:rPr>
      </w:pPr>
      <w:r>
        <w:rPr>
          <w:rFonts w:ascii="Nimbus Roman No9 L" w:eastAsia="仿宋_GB2312" w:hAnsi="Nimbus Roman No9 L" w:hint="eastAsia"/>
          <w:kern w:val="0"/>
          <w:sz w:val="32"/>
          <w:szCs w:val="32"/>
        </w:rPr>
        <w:t>项目主持单位及申报人须分别签署诚信承诺书，项目主持单位要加强申报材料审核把关，杜绝信息不实，弄虚作假。</w:t>
      </w:r>
    </w:p>
    <w:p w:rsidR="00897B7C" w:rsidRPr="00B401E5" w:rsidRDefault="00897B7C"/>
    <w:sectPr w:rsidR="00897B7C" w:rsidRPr="00B40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1E5" w:rsidRDefault="00B401E5" w:rsidP="00B401E5">
      <w:r>
        <w:separator/>
      </w:r>
    </w:p>
  </w:endnote>
  <w:endnote w:type="continuationSeparator" w:id="0">
    <w:p w:rsidR="00B401E5" w:rsidRDefault="00B401E5" w:rsidP="00B4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黑体_GBK">
    <w:altName w:val="Arial Unicode MS"/>
    <w:charset w:val="00"/>
    <w:family w:val="auto"/>
    <w:pitch w:val="default"/>
    <w:sig w:usb0="00000000" w:usb1="00000000" w:usb2="00000000" w:usb3="00000000" w:csb0="40040001" w:csb1="C0D6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Nimbus Roman No9 L">
    <w:altName w:val="Times New Roman"/>
    <w:charset w:val="00"/>
    <w:family w:val="auto"/>
    <w:pitch w:val="default"/>
  </w:font>
  <w:font w:name="方正黑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1E5" w:rsidRDefault="00B401E5" w:rsidP="00B401E5">
      <w:r>
        <w:separator/>
      </w:r>
    </w:p>
  </w:footnote>
  <w:footnote w:type="continuationSeparator" w:id="0">
    <w:p w:rsidR="00B401E5" w:rsidRDefault="00B401E5" w:rsidP="00B40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FF9C71"/>
    <w:multiLevelType w:val="singleLevel"/>
    <w:tmpl w:val="87FF9C71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FFFBB15"/>
    <w:multiLevelType w:val="singleLevel"/>
    <w:tmpl w:val="DFFFBB1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3B"/>
    <w:rsid w:val="00443B3B"/>
    <w:rsid w:val="00897B7C"/>
    <w:rsid w:val="00B4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B401E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01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01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01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01E5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B401E5"/>
    <w:rPr>
      <w:rFonts w:ascii="Calibri" w:eastAsia="宋体" w:hAnsi="Calibri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B401E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01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01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01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01E5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B401E5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1454</Words>
  <Characters>1543</Characters>
  <Application>Microsoft Office Word</Application>
  <DocSecurity>0</DocSecurity>
  <Lines>77</Lines>
  <Paragraphs>55</Paragraphs>
  <ScaleCrop>false</ScaleCrop>
  <Company>Microsoft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wjw</dc:creator>
  <cp:keywords/>
  <dc:description/>
  <cp:lastModifiedBy>wjw</cp:lastModifiedBy>
  <cp:revision>2</cp:revision>
  <dcterms:created xsi:type="dcterms:W3CDTF">2026-04-13T10:23:00Z</dcterms:created>
  <dcterms:modified xsi:type="dcterms:W3CDTF">2026-04-13T10:32:00Z</dcterms:modified>
</cp:coreProperties>
</file>