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E8" w:rsidRDefault="00E951E8" w:rsidP="00E951E8">
      <w:pPr>
        <w:spacing w:line="560" w:lineRule="exact"/>
        <w:jc w:val="left"/>
        <w:rPr>
          <w:rFonts w:ascii="黑体" w:eastAsia="黑体" w:hAnsi="黑体" w:cs="黑体" w:hint="eastAsia"/>
          <w:sz w:val="32"/>
          <w:szCs w:val="32"/>
        </w:rPr>
      </w:pPr>
      <w:r>
        <w:rPr>
          <w:rFonts w:ascii="黑体" w:eastAsia="黑体" w:hAnsi="黑体" w:cs="黑体" w:hint="eastAsia"/>
          <w:sz w:val="32"/>
          <w:szCs w:val="32"/>
        </w:rPr>
        <w:t>附件</w:t>
      </w:r>
    </w:p>
    <w:p w:rsidR="00E951E8" w:rsidRDefault="00E951E8" w:rsidP="00E951E8">
      <w:pPr>
        <w:spacing w:line="56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《实施办法》与相关法律法规对照表</w:t>
      </w:r>
    </w:p>
    <w:tbl>
      <w:tblPr>
        <w:tblW w:w="8877" w:type="dxa"/>
        <w:tblInd w:w="-160" w:type="dxa"/>
        <w:tblLayout w:type="fixed"/>
        <w:tblLook w:val="0000" w:firstRow="0" w:lastRow="0" w:firstColumn="0" w:lastColumn="0" w:noHBand="0" w:noVBand="0"/>
      </w:tblPr>
      <w:tblGrid>
        <w:gridCol w:w="886"/>
        <w:gridCol w:w="2686"/>
        <w:gridCol w:w="3729"/>
        <w:gridCol w:w="1576"/>
      </w:tblGrid>
      <w:tr w:rsidR="00E951E8" w:rsidTr="007D742C">
        <w:trPr>
          <w:trHeight w:val="570"/>
        </w:trPr>
        <w:tc>
          <w:tcPr>
            <w:tcW w:w="886" w:type="dxa"/>
            <w:tcBorders>
              <w:top w:val="single" w:sz="4" w:space="0" w:color="000000"/>
              <w:left w:val="single" w:sz="4" w:space="0" w:color="000000"/>
              <w:bottom w:val="single" w:sz="4" w:space="0" w:color="000000"/>
              <w:right w:val="single" w:sz="4" w:space="0" w:color="000000"/>
            </w:tcBorders>
            <w:noWrap/>
            <w:vAlign w:val="center"/>
          </w:tcPr>
          <w:bookmarkEnd w:id="0"/>
          <w:p w:rsidR="00E951E8" w:rsidRDefault="00E951E8" w:rsidP="007D742C">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序号</w:t>
            </w:r>
          </w:p>
        </w:tc>
        <w:tc>
          <w:tcPr>
            <w:tcW w:w="26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《实施办法》相关条款</w:t>
            </w:r>
          </w:p>
        </w:tc>
        <w:tc>
          <w:tcPr>
            <w:tcW w:w="3729" w:type="dxa"/>
            <w:tcBorders>
              <w:top w:val="single" w:sz="4" w:space="0" w:color="000000"/>
              <w:left w:val="single" w:sz="4" w:space="0" w:color="000000"/>
              <w:bottom w:val="single" w:sz="4" w:space="0" w:color="000000"/>
              <w:right w:val="single" w:sz="4" w:space="0" w:color="000000"/>
            </w:tcBorders>
            <w:vAlign w:val="center"/>
          </w:tcPr>
          <w:p w:rsidR="00E951E8" w:rsidRDefault="00E951E8" w:rsidP="007D742C">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sz w:val="24"/>
              </w:rPr>
              <w:t>新的法律、法规相关条款</w:t>
            </w:r>
          </w:p>
        </w:tc>
        <w:tc>
          <w:tcPr>
            <w:tcW w:w="157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jc w:val="center"/>
              <w:textAlignment w:val="center"/>
              <w:rPr>
                <w:rFonts w:ascii="仿宋" w:eastAsia="仿宋" w:hAnsi="仿宋" w:cs="仿宋" w:hint="eastAsia"/>
                <w:b/>
                <w:color w:val="000000"/>
                <w:sz w:val="24"/>
              </w:rPr>
            </w:pPr>
            <w:r>
              <w:rPr>
                <w:rFonts w:ascii="仿宋" w:eastAsia="仿宋" w:hAnsi="仿宋" w:cs="仿宋" w:hint="eastAsia"/>
                <w:b/>
                <w:color w:val="000000"/>
                <w:kern w:val="0"/>
                <w:sz w:val="24"/>
                <w:lang w:bidi="ar"/>
              </w:rPr>
              <w:t>对比结果</w:t>
            </w:r>
          </w:p>
        </w:tc>
      </w:tr>
      <w:tr w:rsidR="00E951E8" w:rsidTr="007D742C">
        <w:trPr>
          <w:trHeight w:val="5140"/>
        </w:trPr>
        <w:tc>
          <w:tcPr>
            <w:tcW w:w="8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26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第一条自治区各级卫生行政部门主管全区尘肺病防治工作。自治区各级卫生防疫站是尘肺病防治工作的卫生监督监测机构。</w:t>
            </w:r>
          </w:p>
        </w:tc>
        <w:tc>
          <w:tcPr>
            <w:tcW w:w="3729" w:type="dxa"/>
            <w:tcBorders>
              <w:top w:val="single" w:sz="4" w:space="0" w:color="000000"/>
              <w:left w:val="single" w:sz="4" w:space="0" w:color="000000"/>
              <w:bottom w:val="single" w:sz="4" w:space="0" w:color="000000"/>
              <w:right w:val="single" w:sz="4" w:space="0" w:color="000000"/>
            </w:tcBorders>
            <w:vAlign w:val="center"/>
          </w:tcPr>
          <w:p w:rsidR="00E951E8" w:rsidRDefault="00E951E8" w:rsidP="007D742C">
            <w:pPr>
              <w:widowControl/>
              <w:spacing w:line="300" w:lineRule="exact"/>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 xml:space="preserve">   《职业病防治法》第九条国家实行职业卫生监督制度。</w:t>
            </w:r>
          </w:p>
          <w:p w:rsidR="00E951E8" w:rsidRDefault="00E951E8" w:rsidP="007D742C">
            <w:pPr>
              <w:widowControl/>
              <w:spacing w:line="300" w:lineRule="exact"/>
              <w:ind w:firstLine="420"/>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国务院卫生行政部门、劳动保障行政部门依照本法和国务院确定的职责，负责全国职业病防治的监督管理工作。国务院有关部门在各自的职责范围内负责职业病防治的有关监督管理工作。</w:t>
            </w:r>
          </w:p>
          <w:p w:rsidR="00E951E8" w:rsidRDefault="00E951E8" w:rsidP="007D742C">
            <w:pPr>
              <w:widowControl/>
              <w:spacing w:line="300" w:lineRule="exact"/>
              <w:ind w:firstLine="420"/>
              <w:jc w:val="lef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E951E8" w:rsidRDefault="00E951E8" w:rsidP="007D742C">
            <w:pPr>
              <w:widowControl/>
              <w:spacing w:line="300" w:lineRule="exact"/>
              <w:ind w:firstLine="420"/>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县级以上人民政府卫生行政部门、劳动保障行政部门（以下统称职业卫生监督管理部门）应当加强沟通，密切配合，按照各自职责分工，依法行使职权，承担责任。</w:t>
            </w:r>
          </w:p>
        </w:tc>
        <w:tc>
          <w:tcPr>
            <w:tcW w:w="157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与现行法律部不一致</w:t>
            </w:r>
          </w:p>
        </w:tc>
      </w:tr>
      <w:tr w:rsidR="00E951E8" w:rsidTr="007D742C">
        <w:trPr>
          <w:trHeight w:val="1960"/>
        </w:trPr>
        <w:tc>
          <w:tcPr>
            <w:tcW w:w="8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26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第八条新建、改建、扩建、续建有粉尘作业的工程项目，必须严格按照自治区人民政府《关于工业基本建设和技术改造项目劳动安全卫生设施与主体工程实行“三同时”的暂行规定》执行。</w:t>
            </w:r>
          </w:p>
        </w:tc>
        <w:tc>
          <w:tcPr>
            <w:tcW w:w="3729" w:type="dxa"/>
            <w:tcBorders>
              <w:top w:val="single" w:sz="4" w:space="0" w:color="000000"/>
              <w:left w:val="single" w:sz="4" w:space="0" w:color="000000"/>
              <w:bottom w:val="single" w:sz="4" w:space="0" w:color="000000"/>
              <w:right w:val="single" w:sz="4" w:space="0" w:color="000000"/>
            </w:tcBorders>
            <w:vAlign w:val="center"/>
          </w:tcPr>
          <w:p w:rsidR="00E951E8" w:rsidRDefault="00E951E8" w:rsidP="007D742C">
            <w:pPr>
              <w:widowControl/>
              <w:spacing w:line="300" w:lineRule="exact"/>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《建设项目职业病防护设施“三同时”监督管理办法》（2017年3月9日国家安全生产监督管理总局令  第90号）第三条第二款规定：“建设项目职业病防护设施必须与主题工程同时设计”、同时施工、同时投入生产和使用（统称建设项目职业病防护设施“三同时”）；《工作场所职业卫生管理规定》（2020年12月31日中华人民共和国国家卫生健康委员会令  第5号）第十四条做出了相应的规定。</w:t>
            </w:r>
          </w:p>
        </w:tc>
        <w:tc>
          <w:tcPr>
            <w:tcW w:w="157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被新法规代替</w:t>
            </w:r>
          </w:p>
        </w:tc>
      </w:tr>
      <w:tr w:rsidR="00E951E8" w:rsidTr="007D742C">
        <w:trPr>
          <w:trHeight w:val="1960"/>
        </w:trPr>
        <w:tc>
          <w:tcPr>
            <w:tcW w:w="8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center"/>
              <w:textAlignment w:val="center"/>
              <w:rPr>
                <w:rFonts w:ascii="仿宋" w:eastAsia="仿宋" w:hAnsi="仿宋" w:cs="仿宋" w:hint="eastAsia"/>
                <w:color w:val="000000"/>
                <w:kern w:val="0"/>
                <w:szCs w:val="21"/>
                <w:lang w:bidi="ar"/>
              </w:rPr>
            </w:pPr>
          </w:p>
        </w:tc>
        <w:tc>
          <w:tcPr>
            <w:tcW w:w="26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第十八条对违反《尘肺病防治条例》和本办法，有下列行为之一的企业、事业单位，由同级卫生行政部门处以500～1000元罚款。</w:t>
            </w:r>
          </w:p>
        </w:tc>
        <w:tc>
          <w:tcPr>
            <w:tcW w:w="3729" w:type="dxa"/>
            <w:tcBorders>
              <w:top w:val="single" w:sz="4" w:space="0" w:color="000000"/>
              <w:left w:val="single" w:sz="4" w:space="0" w:color="000000"/>
              <w:bottom w:val="single" w:sz="4" w:space="0" w:color="000000"/>
              <w:right w:val="single" w:sz="4" w:space="0" w:color="000000"/>
            </w:tcBorders>
            <w:vAlign w:val="center"/>
          </w:tcPr>
          <w:p w:rsidR="00E951E8" w:rsidRDefault="00E951E8" w:rsidP="007D742C">
            <w:pPr>
              <w:widowControl/>
              <w:spacing w:line="300" w:lineRule="exact"/>
              <w:jc w:val="left"/>
              <w:textAlignment w:val="center"/>
              <w:rPr>
                <w:rFonts w:ascii="仿宋" w:eastAsia="仿宋" w:hAnsi="仿宋" w:cs="仿宋" w:hint="eastAsia"/>
                <w:color w:val="000000"/>
                <w:kern w:val="0"/>
                <w:szCs w:val="21"/>
                <w:lang w:bidi="ar"/>
              </w:rPr>
            </w:pPr>
          </w:p>
        </w:tc>
        <w:tc>
          <w:tcPr>
            <w:tcW w:w="157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left"/>
              <w:textAlignment w:val="center"/>
              <w:rPr>
                <w:rFonts w:ascii="仿宋" w:eastAsia="仿宋" w:hAnsi="仿宋" w:cs="仿宋" w:hint="eastAsia"/>
                <w:color w:val="000000"/>
                <w:kern w:val="0"/>
                <w:szCs w:val="21"/>
                <w:lang w:bidi="ar"/>
              </w:rPr>
            </w:pPr>
          </w:p>
        </w:tc>
      </w:tr>
      <w:tr w:rsidR="00E951E8" w:rsidTr="007D742C">
        <w:trPr>
          <w:trHeight w:val="3780"/>
        </w:trPr>
        <w:tc>
          <w:tcPr>
            <w:tcW w:w="8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lastRenderedPageBreak/>
              <w:t>3</w:t>
            </w:r>
          </w:p>
        </w:tc>
        <w:tc>
          <w:tcPr>
            <w:tcW w:w="26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（一）不按规定对粉尘作业场所的粉尘浓度进行定期检测的；</w:t>
            </w:r>
          </w:p>
          <w:p w:rsidR="00E951E8" w:rsidRDefault="00E951E8" w:rsidP="007D742C">
            <w:pPr>
              <w:widowControl/>
              <w:spacing w:line="300" w:lineRule="exac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（二）不报或假报</w:t>
            </w:r>
            <w:proofErr w:type="gramStart"/>
            <w:r>
              <w:rPr>
                <w:rFonts w:ascii="仿宋" w:eastAsia="仿宋" w:hAnsi="仿宋" w:cs="仿宋" w:hint="eastAsia"/>
                <w:color w:val="000000"/>
                <w:kern w:val="0"/>
                <w:szCs w:val="21"/>
                <w:lang w:bidi="ar"/>
              </w:rPr>
              <w:t>测尘结果</w:t>
            </w:r>
            <w:proofErr w:type="gramEnd"/>
            <w:r>
              <w:rPr>
                <w:rFonts w:ascii="仿宋" w:eastAsia="仿宋" w:hAnsi="仿宋" w:cs="仿宋" w:hint="eastAsia"/>
                <w:color w:val="000000"/>
                <w:kern w:val="0"/>
                <w:szCs w:val="21"/>
                <w:lang w:bidi="ar"/>
              </w:rPr>
              <w:t>的；</w:t>
            </w:r>
          </w:p>
          <w:p w:rsidR="00E951E8" w:rsidRDefault="00E951E8" w:rsidP="007D742C">
            <w:pPr>
              <w:widowControl/>
              <w:spacing w:line="300" w:lineRule="exac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（三）不按规定对从事粉尘作业的职工进行就业前和就业后定期职业性体检的（四）假报或隐瞒尘肺病诊断结果的；</w:t>
            </w:r>
          </w:p>
          <w:p w:rsidR="00E951E8" w:rsidRDefault="00E951E8" w:rsidP="007D742C">
            <w:pPr>
              <w:widowControl/>
              <w:spacing w:line="300" w:lineRule="exac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（五）强令尘肺病患者继续从事粉尘作业的。</w:t>
            </w:r>
          </w:p>
        </w:tc>
        <w:tc>
          <w:tcPr>
            <w:tcW w:w="3729" w:type="dxa"/>
            <w:tcBorders>
              <w:top w:val="single" w:sz="4" w:space="0" w:color="000000"/>
              <w:left w:val="single" w:sz="4" w:space="0" w:color="000000"/>
              <w:bottom w:val="single" w:sz="4" w:space="0" w:color="000000"/>
              <w:right w:val="single" w:sz="4" w:space="0" w:color="000000"/>
            </w:tcBorders>
            <w:vAlign w:val="center"/>
          </w:tcPr>
          <w:p w:rsidR="00E951E8" w:rsidRDefault="00E951E8" w:rsidP="007D742C">
            <w:pPr>
              <w:widowControl/>
              <w:spacing w:line="300" w:lineRule="exact"/>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《职业病防治法》第七十条第（四）项、第七十二条第（一）项、第七十一条第（四）项、第七十四条、第七十五条第（七）项分别进行了规定，并做出处以二万以上三十万以下罚款的规定。</w:t>
            </w:r>
          </w:p>
        </w:tc>
        <w:tc>
          <w:tcPr>
            <w:tcW w:w="157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被新法律代替</w:t>
            </w:r>
          </w:p>
        </w:tc>
      </w:tr>
      <w:tr w:rsidR="00E951E8" w:rsidTr="007D742C">
        <w:trPr>
          <w:trHeight w:val="6795"/>
        </w:trPr>
        <w:tc>
          <w:tcPr>
            <w:tcW w:w="8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268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第十九条对违反《尘肺病防治条例》和本办法，有下列行为之一的企业、事业单位，由卫生行政部门和劳动部门处以1000～15000元罚款。</w:t>
            </w:r>
          </w:p>
          <w:p w:rsidR="00E951E8" w:rsidRDefault="00E951E8" w:rsidP="007D742C">
            <w:pPr>
              <w:widowControl/>
              <w:spacing w:line="300" w:lineRule="exac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（一）作业场所粉尘浓度超过国家卫生标准，逾期不采取防尘措施的；</w:t>
            </w:r>
          </w:p>
          <w:p w:rsidR="00E951E8" w:rsidRDefault="00E951E8" w:rsidP="007D742C">
            <w:pPr>
              <w:widowControl/>
              <w:spacing w:line="300" w:lineRule="exact"/>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t>（二）任意拆除或不予维修防尘设施致使粉尘危害严重的；</w:t>
            </w:r>
          </w:p>
          <w:p w:rsidR="00E951E8" w:rsidRDefault="00E951E8" w:rsidP="007D742C">
            <w:pPr>
              <w:widowControl/>
              <w:spacing w:line="300" w:lineRule="exac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三）挪用防尘经费的；（四）不按规定对防尘设施的工程技术性能进行定期检测或假报检测结果的；（五）将没有防尘设施的粉尘作业以外包或联营等形式转嫁给没有防尘设施的乡镇、街道或个体企业的；（六）安排未成年人从事矽尘、石棉尘和易于造成尘肺病的粉尘作业。</w:t>
            </w:r>
          </w:p>
        </w:tc>
        <w:tc>
          <w:tcPr>
            <w:tcW w:w="3729" w:type="dxa"/>
            <w:tcBorders>
              <w:top w:val="single" w:sz="4" w:space="0" w:color="000000"/>
              <w:left w:val="single" w:sz="4" w:space="0" w:color="000000"/>
              <w:bottom w:val="single" w:sz="4" w:space="0" w:color="000000"/>
              <w:right w:val="single" w:sz="4" w:space="0" w:color="000000"/>
            </w:tcBorders>
            <w:vAlign w:val="center"/>
          </w:tcPr>
          <w:p w:rsidR="00E951E8" w:rsidRDefault="00E951E8" w:rsidP="007D742C">
            <w:pPr>
              <w:widowControl/>
              <w:spacing w:line="300" w:lineRule="exact"/>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职业病防治法》第七十二条第（一）和第（五）项、第七十二条第（三）项、第七十五条第（五）、（六）、（七）项分别对《实施办法》第十九条第（一）、（二）、（四）、（五）、（六）进行了规定，并做出处以五万以上三十万以下罚款的规定。</w:t>
            </w:r>
          </w:p>
        </w:tc>
        <w:tc>
          <w:tcPr>
            <w:tcW w:w="1576" w:type="dxa"/>
            <w:tcBorders>
              <w:top w:val="single" w:sz="4" w:space="0" w:color="000000"/>
              <w:left w:val="single" w:sz="4" w:space="0" w:color="000000"/>
              <w:bottom w:val="single" w:sz="4" w:space="0" w:color="000000"/>
              <w:right w:val="single" w:sz="4" w:space="0" w:color="000000"/>
            </w:tcBorders>
            <w:noWrap/>
            <w:vAlign w:val="center"/>
          </w:tcPr>
          <w:p w:rsidR="00E951E8" w:rsidRDefault="00E951E8" w:rsidP="007D742C">
            <w:pPr>
              <w:widowControl/>
              <w:spacing w:line="300" w:lineRule="exact"/>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被新法律代替</w:t>
            </w:r>
          </w:p>
        </w:tc>
      </w:tr>
    </w:tbl>
    <w:p w:rsidR="000443D1" w:rsidRDefault="000443D1"/>
    <w:sectPr w:rsidR="00044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E8"/>
    <w:rsid w:val="000443D1"/>
    <w:rsid w:val="00E9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51E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E951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51E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E951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689</Characters>
  <Application>Microsoft Office Word</Application>
  <DocSecurity>0</DocSecurity>
  <Lines>43</Lines>
  <Paragraphs>38</Paragraphs>
  <ScaleCrop>false</ScaleCrop>
  <Company>Microsoft</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2023-09-01T10:03:00Z</dcterms:created>
  <dcterms:modified xsi:type="dcterms:W3CDTF">2023-09-01T10:04:00Z</dcterms:modified>
</cp:coreProperties>
</file>