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附件2</w:t>
      </w:r>
    </w:p>
    <w:p>
      <w:pPr>
        <w:pStyle w:val="2"/>
        <w:rPr>
          <w:rFonts w:hint="eastAsia" w:ascii="黑体" w:hAnsi="黑体" w:eastAsia="黑体" w:cs="黑体"/>
          <w:sz w:val="32"/>
          <w:szCs w:val="32"/>
          <w:lang w:val="en-US" w:eastAsia="zh-CN" w:bidi="ar-SA"/>
        </w:rPr>
      </w:pPr>
    </w:p>
    <w:p>
      <w:pPr>
        <w:rPr>
          <w:rFonts w:hint="eastAsia"/>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bidi="ar-SA"/>
        </w:rPr>
        <w:t>2023年学校卫生随机监督抽查计划</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黑体" w:hAnsi="宋体" w:eastAsia="黑体" w:cs="黑体"/>
          <w:b w:val="0"/>
          <w:i w:val="0"/>
          <w:caps w:val="0"/>
          <w:color w:val="484848"/>
          <w:spacing w:val="0"/>
          <w:sz w:val="32"/>
          <w:szCs w:val="32"/>
          <w:u w:val="none"/>
        </w:rPr>
      </w:pPr>
      <w:r>
        <w:rPr>
          <w:rFonts w:hint="eastAsia" w:ascii="方正小标宋简体" w:hAnsi="方正小标宋简体" w:eastAsia="方正小标宋简体" w:cs="方正小标宋简体"/>
          <w:sz w:val="44"/>
          <w:szCs w:val="44"/>
          <w:lang w:val="en-US" w:eastAsia="zh-CN" w:bidi="ar-SA"/>
        </w:rPr>
        <w:t xml:space="preserve">    </w:t>
      </w:r>
      <w:r>
        <w:rPr>
          <w:rFonts w:hint="eastAsia" w:ascii="黑体" w:hAnsi="黑体" w:eastAsia="黑体" w:cs="黑体"/>
          <w:sz w:val="32"/>
          <w:szCs w:val="32"/>
        </w:rPr>
        <w:t>一、监督检查内容</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（一）监督检查对象</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sz w:val="32"/>
          <w:szCs w:val="32"/>
          <w:lang w:val="en-US" w:eastAsia="zh-CN" w:bidi="ar-SA"/>
        </w:rPr>
      </w:pPr>
      <w:r>
        <w:rPr>
          <w:rFonts w:hint="eastAsia" w:ascii="Times New Roman" w:hAnsi="Times New Roman" w:eastAsia="仿宋_GB2312"/>
          <w:sz w:val="32"/>
          <w:szCs w:val="32"/>
          <w:lang w:val="en-US" w:eastAsia="zh-CN" w:bidi="ar-SA"/>
        </w:rPr>
        <w:t>中小学校及高校。</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（二）范围和数量</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sz w:val="32"/>
          <w:szCs w:val="32"/>
          <w:lang w:val="en-US" w:eastAsia="zh-CN" w:bidi="ar-SA"/>
        </w:rPr>
      </w:pPr>
      <w:r>
        <w:rPr>
          <w:rFonts w:hint="eastAsia" w:ascii="Times New Roman" w:hAnsi="Times New Roman" w:eastAsia="仿宋_GB2312"/>
          <w:sz w:val="32"/>
          <w:szCs w:val="32"/>
          <w:lang w:val="en-US" w:eastAsia="zh-CN" w:bidi="ar-SA"/>
        </w:rPr>
        <w:t>监督抽查辖区学校总数的20%。</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（三）检查内容</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sz w:val="32"/>
          <w:szCs w:val="32"/>
          <w:lang w:val="en-US" w:eastAsia="zh-CN" w:bidi="ar-SA"/>
        </w:rPr>
      </w:pPr>
      <w:r>
        <w:rPr>
          <w:rFonts w:hint="eastAsia" w:ascii="Times New Roman" w:hAnsi="Times New Roman" w:eastAsia="仿宋_GB2312"/>
          <w:sz w:val="32"/>
          <w:szCs w:val="32"/>
          <w:lang w:val="en-US" w:eastAsia="zh-CN" w:bidi="ar-SA"/>
        </w:rPr>
        <w:t>1</w:t>
      </w:r>
      <w:r>
        <w:rPr>
          <w:rFonts w:hint="eastAsia" w:eastAsia="仿宋_GB2312"/>
          <w:sz w:val="32"/>
          <w:szCs w:val="32"/>
          <w:lang w:val="en-US" w:eastAsia="zh-CN" w:bidi="ar-SA"/>
        </w:rPr>
        <w:t>.</w:t>
      </w:r>
      <w:r>
        <w:rPr>
          <w:rFonts w:hint="eastAsia" w:ascii="Times New Roman" w:hAnsi="Times New Roman" w:eastAsia="仿宋_GB2312"/>
          <w:sz w:val="32"/>
          <w:szCs w:val="32"/>
          <w:lang w:val="en-US" w:eastAsia="zh-CN" w:bidi="ar-SA"/>
        </w:rPr>
        <w:t>检查学校落实教学和生活环境卫生要求情况，包括教室课桌椅配备（指每间教室至少设有2 种不同高低型号的课桌椅，且每人一席）;教室采光和照明（教室采光和照明检查项目含窗地面积比、采光方向、防眩光措施、装设人工照明、黑板局部照明灯设置、课桌面照度及均匀度、黑板照度及均匀度，按照《中小学校教室采光和照明卫生标准》（GB7793）的规定进行达标判定）;教室人均面积、教室和宿舍通风设施、教学楼厕所及洗手设施设置等情况。学校提供的学习用品达标情况（指达到《儿童青少年学习用品近视防控卫生要求》（GB40070）相关规定情况），包括教室灯具（灯具检查包括强制性产品认证、色温、显色指数、蓝光。可通过现场查看灯具标志标识及索证资料来完成。对于GB7001中不免除视网膜蓝光危害评估的灯具，根据IEC/TR 62778进行蓝光危害评估，黑板局部照明灯或教室一般照明灯中有一种不合格即判定为该项不合格；其他免除视网膜蓝光危害评估的灯具默认蓝光合格）;考试试卷（学校自制考试试卷纸张D65亮度及D65荧光亮度、字体字号、行空。可通过实验室检测或现场查看索证资料来完成）等情况。</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sz w:val="32"/>
          <w:szCs w:val="32"/>
          <w:lang w:val="en-US" w:eastAsia="zh-CN" w:bidi="ar-SA"/>
        </w:rPr>
      </w:pPr>
      <w:r>
        <w:rPr>
          <w:rFonts w:hint="eastAsia" w:ascii="Times New Roman" w:hAnsi="Times New Roman" w:eastAsia="仿宋_GB2312"/>
          <w:sz w:val="32"/>
          <w:szCs w:val="32"/>
          <w:lang w:val="en-US" w:eastAsia="zh-CN" w:bidi="ar-SA"/>
        </w:rPr>
        <w:t>2</w:t>
      </w:r>
      <w:r>
        <w:rPr>
          <w:rFonts w:hint="eastAsia" w:eastAsia="仿宋_GB2312"/>
          <w:sz w:val="32"/>
          <w:szCs w:val="32"/>
          <w:lang w:val="en-US" w:eastAsia="zh-CN" w:bidi="ar-SA"/>
        </w:rPr>
        <w:t>.</w:t>
      </w:r>
      <w:r>
        <w:rPr>
          <w:rFonts w:hint="eastAsia" w:ascii="Times New Roman" w:hAnsi="Times New Roman" w:eastAsia="仿宋_GB2312"/>
          <w:sz w:val="32"/>
          <w:szCs w:val="32"/>
          <w:lang w:val="en-US" w:eastAsia="zh-CN" w:bidi="ar-SA"/>
        </w:rPr>
        <w:t>检查学校落实传染病和常见病防控要求情况，包括专人负责疫情报告、传染病防控“一案八制”（指《中小学校传染病预防控制工作管理规范》（GB28932）第4.8 条规定的传染病预防控制应急预案和相关制度）、晨检记录和因病缺勤病因追查与登记记录、复课证明查验、新生入学接种证查验登记、每年按规定实施学生健康体检等情况。学校新型冠状病毒感染防控措施落实情况。</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sz w:val="32"/>
          <w:szCs w:val="32"/>
          <w:lang w:val="en-US" w:eastAsia="zh-CN" w:bidi="ar-SA"/>
        </w:rPr>
      </w:pPr>
      <w:r>
        <w:rPr>
          <w:rFonts w:hint="eastAsia" w:ascii="Times New Roman" w:hAnsi="Times New Roman" w:eastAsia="仿宋_GB2312"/>
          <w:sz w:val="32"/>
          <w:szCs w:val="32"/>
          <w:lang w:val="en-US" w:eastAsia="zh-CN" w:bidi="ar-SA"/>
        </w:rPr>
        <w:t>3</w:t>
      </w:r>
      <w:r>
        <w:rPr>
          <w:rFonts w:hint="eastAsia" w:eastAsia="仿宋_GB2312"/>
          <w:sz w:val="32"/>
          <w:szCs w:val="32"/>
          <w:lang w:val="en-US" w:eastAsia="zh-CN" w:bidi="ar-SA"/>
        </w:rPr>
        <w:t>.</w:t>
      </w:r>
      <w:r>
        <w:rPr>
          <w:rFonts w:hint="eastAsia" w:ascii="Times New Roman" w:hAnsi="Times New Roman" w:eastAsia="仿宋_GB2312"/>
          <w:sz w:val="32"/>
          <w:szCs w:val="32"/>
          <w:lang w:val="en-US" w:eastAsia="zh-CN" w:bidi="ar-SA"/>
        </w:rPr>
        <w:t>检查学校落实饮用水卫生要求情况，包括使用自建设施集中式供水的学校落实水源卫生防护、配备使用水质消毒设施设备情况和使用二次供水的学校防止蓄水池周围污染和按规定开展蓄水池清洗消毒情况。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sz w:val="32"/>
          <w:szCs w:val="32"/>
          <w:lang w:val="en-US" w:eastAsia="zh-CN" w:bidi="ar-SA"/>
        </w:rPr>
      </w:pPr>
      <w:r>
        <w:rPr>
          <w:rFonts w:hint="eastAsia" w:ascii="Times New Roman" w:hAnsi="Times New Roman" w:eastAsia="仿宋_GB2312"/>
          <w:sz w:val="32"/>
          <w:szCs w:val="32"/>
          <w:lang w:val="en-US" w:eastAsia="zh-CN" w:bidi="ar-SA"/>
        </w:rPr>
        <w:t>4</w:t>
      </w:r>
      <w:r>
        <w:rPr>
          <w:rFonts w:hint="eastAsia" w:eastAsia="仿宋_GB2312"/>
          <w:sz w:val="32"/>
          <w:szCs w:val="32"/>
          <w:lang w:val="en-US" w:eastAsia="zh-CN" w:bidi="ar-SA"/>
        </w:rPr>
        <w:t>.</w:t>
      </w:r>
      <w:r>
        <w:rPr>
          <w:rFonts w:hint="eastAsia" w:ascii="Times New Roman" w:hAnsi="Times New Roman" w:eastAsia="仿宋_GB2312"/>
          <w:sz w:val="32"/>
          <w:szCs w:val="32"/>
          <w:lang w:val="en-US" w:eastAsia="zh-CN" w:bidi="ar-SA"/>
        </w:rPr>
        <w:t>检查学校纳入卫生监督协管服务情况。</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sz w:val="32"/>
          <w:szCs w:val="32"/>
          <w:lang w:val="en-US" w:eastAsia="zh-CN" w:bidi="ar-SA"/>
        </w:rPr>
      </w:pPr>
      <w:r>
        <w:rPr>
          <w:rFonts w:hint="eastAsia" w:ascii="楷体" w:hAnsi="楷体" w:eastAsia="楷体" w:cs="楷体"/>
          <w:sz w:val="32"/>
          <w:szCs w:val="32"/>
          <w:lang w:val="en-US" w:eastAsia="zh-CN" w:bidi="ar-SA"/>
        </w:rPr>
        <w:t>（四）检测项目</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sz w:val="32"/>
          <w:szCs w:val="32"/>
          <w:lang w:val="en-US" w:eastAsia="zh-CN" w:bidi="ar-SA"/>
        </w:rPr>
      </w:pPr>
      <w:r>
        <w:rPr>
          <w:rFonts w:hint="eastAsia" w:ascii="Times New Roman" w:hAnsi="Times New Roman" w:eastAsia="仿宋_GB2312"/>
          <w:sz w:val="32"/>
          <w:szCs w:val="32"/>
          <w:lang w:val="en-US" w:eastAsia="zh-CN" w:bidi="ar-SA"/>
        </w:rPr>
        <w:t>1</w:t>
      </w:r>
      <w:r>
        <w:rPr>
          <w:rFonts w:hint="eastAsia" w:eastAsia="仿宋_GB2312"/>
          <w:sz w:val="32"/>
          <w:szCs w:val="32"/>
          <w:lang w:val="en-US" w:eastAsia="zh-CN" w:bidi="ar-SA"/>
        </w:rPr>
        <w:t>.</w:t>
      </w:r>
      <w:r>
        <w:rPr>
          <w:rFonts w:hint="eastAsia" w:ascii="Times New Roman" w:hAnsi="Times New Roman" w:eastAsia="仿宋_GB2312"/>
          <w:sz w:val="32"/>
          <w:szCs w:val="32"/>
          <w:lang w:val="en-US" w:eastAsia="zh-CN" w:bidi="ar-SA"/>
        </w:rPr>
        <w:t>教室采光、照明及教室人均面积；</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sz w:val="32"/>
          <w:szCs w:val="32"/>
          <w:lang w:val="en-US" w:eastAsia="zh-CN" w:bidi="ar-SA"/>
        </w:rPr>
      </w:pPr>
      <w:r>
        <w:rPr>
          <w:rFonts w:hint="eastAsia" w:ascii="Times New Roman" w:hAnsi="Times New Roman" w:eastAsia="仿宋_GB2312"/>
          <w:sz w:val="32"/>
          <w:szCs w:val="32"/>
          <w:lang w:val="en-US" w:eastAsia="zh-CN" w:bidi="ar-SA"/>
        </w:rPr>
        <w:t>2</w:t>
      </w:r>
      <w:r>
        <w:rPr>
          <w:rFonts w:hint="eastAsia" w:eastAsia="仿宋_GB2312"/>
          <w:sz w:val="32"/>
          <w:szCs w:val="32"/>
          <w:lang w:val="en-US" w:eastAsia="zh-CN" w:bidi="ar-SA"/>
        </w:rPr>
        <w:t>.</w:t>
      </w:r>
      <w:r>
        <w:rPr>
          <w:rFonts w:hint="eastAsia" w:ascii="Times New Roman" w:hAnsi="Times New Roman" w:eastAsia="仿宋_GB2312"/>
          <w:sz w:val="32"/>
          <w:szCs w:val="32"/>
          <w:lang w:val="en-US" w:eastAsia="zh-CN" w:bidi="ar-SA"/>
        </w:rPr>
        <w:t>学校自建设施集中式供水和二次供水水质色度、浑浊度、臭和味、肉眼可见物、pH 和消毒剂余量。</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Times New Roman" w:hAnsi="Times New Roman" w:eastAsia="仿宋_GB2312"/>
          <w:sz w:val="32"/>
          <w:szCs w:val="32"/>
          <w:lang w:val="en-US" w:eastAsia="zh-CN" w:bidi="ar-SA"/>
        </w:rPr>
      </w:pPr>
      <w:r>
        <w:rPr>
          <w:rFonts w:hint="eastAsia" w:ascii="黑体" w:hAnsi="宋体" w:eastAsia="黑体" w:cs="黑体"/>
          <w:b w:val="0"/>
          <w:i w:val="0"/>
          <w:caps w:val="0"/>
          <w:color w:val="484848"/>
          <w:spacing w:val="0"/>
          <w:sz w:val="32"/>
          <w:szCs w:val="32"/>
          <w:u w:val="none"/>
          <w:lang w:val="en-US" w:eastAsia="zh-CN"/>
        </w:rPr>
        <w:t xml:space="preserve">    </w:t>
      </w:r>
      <w:r>
        <w:rPr>
          <w:rFonts w:hint="eastAsia" w:ascii="黑体" w:hAnsi="黑体" w:eastAsia="黑体" w:cs="黑体"/>
          <w:sz w:val="32"/>
          <w:szCs w:val="32"/>
          <w:lang w:val="en-US" w:eastAsia="zh-CN"/>
        </w:rPr>
        <w:t>二、</w:t>
      </w:r>
      <w:r>
        <w:rPr>
          <w:rFonts w:hint="eastAsia" w:ascii="黑体" w:hAnsi="黑体" w:eastAsia="黑体" w:cs="黑体"/>
          <w:sz w:val="32"/>
          <w:szCs w:val="32"/>
        </w:rPr>
        <w:t>结果报送要求</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sz w:val="32"/>
          <w:szCs w:val="32"/>
          <w:lang w:val="en-US" w:eastAsia="zh-CN" w:bidi="ar-SA"/>
        </w:rPr>
      </w:pPr>
      <w:r>
        <w:rPr>
          <w:rFonts w:hint="eastAsia" w:ascii="Times New Roman" w:hAnsi="Times New Roman" w:eastAsia="仿宋_GB2312"/>
          <w:sz w:val="32"/>
          <w:szCs w:val="32"/>
          <w:lang w:val="en-US" w:eastAsia="zh-CN" w:bidi="ar-SA"/>
        </w:rPr>
        <w:t>（</w:t>
      </w:r>
      <w:r>
        <w:rPr>
          <w:rFonts w:hint="eastAsia" w:eastAsia="仿宋_GB2312"/>
          <w:sz w:val="32"/>
          <w:szCs w:val="32"/>
          <w:lang w:val="en-US" w:eastAsia="zh-CN" w:bidi="ar-SA"/>
        </w:rPr>
        <w:t>一</w:t>
      </w:r>
      <w:r>
        <w:rPr>
          <w:rFonts w:hint="eastAsia" w:ascii="Times New Roman" w:hAnsi="Times New Roman" w:eastAsia="仿宋_GB2312"/>
          <w:sz w:val="32"/>
          <w:szCs w:val="32"/>
          <w:lang w:val="en-US" w:eastAsia="zh-CN" w:bidi="ar-SA"/>
        </w:rPr>
        <w:t>）各地</w:t>
      </w:r>
      <w:r>
        <w:rPr>
          <w:rFonts w:hint="eastAsia" w:eastAsia="仿宋_GB2312"/>
          <w:sz w:val="32"/>
          <w:szCs w:val="32"/>
          <w:lang w:val="en-US" w:eastAsia="zh-CN" w:bidi="ar-SA"/>
        </w:rPr>
        <w:t>（州、市）</w:t>
      </w:r>
      <w:r>
        <w:rPr>
          <w:rFonts w:hint="default" w:ascii="Times New Roman" w:hAnsi="Times New Roman" w:eastAsia="仿宋_GB2312"/>
          <w:sz w:val="32"/>
          <w:szCs w:val="32"/>
          <w:lang w:val="en-US" w:eastAsia="zh-CN" w:bidi="ar-SA"/>
        </w:rPr>
        <w:t>要按照计划要求，通过卫生健康监督信息系统按时上报相关信息。</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sz w:val="32"/>
          <w:szCs w:val="32"/>
          <w:lang w:val="en-US" w:eastAsia="zh-CN" w:bidi="ar-SA"/>
        </w:rPr>
      </w:pPr>
      <w:r>
        <w:rPr>
          <w:rFonts w:hint="eastAsia" w:ascii="Times New Roman" w:hAnsi="Times New Roman" w:eastAsia="仿宋_GB2312"/>
          <w:sz w:val="32"/>
          <w:szCs w:val="32"/>
          <w:lang w:val="en-US" w:eastAsia="zh-CN" w:bidi="ar-SA"/>
        </w:rPr>
        <w:t>（</w:t>
      </w:r>
      <w:r>
        <w:rPr>
          <w:rFonts w:hint="eastAsia" w:eastAsia="仿宋_GB2312"/>
          <w:sz w:val="32"/>
          <w:szCs w:val="32"/>
          <w:lang w:val="en-US" w:eastAsia="zh-CN" w:bidi="ar-SA"/>
        </w:rPr>
        <w:t>二</w:t>
      </w:r>
      <w:r>
        <w:rPr>
          <w:rFonts w:hint="eastAsia" w:ascii="Times New Roman" w:hAnsi="Times New Roman" w:eastAsia="仿宋_GB2312"/>
          <w:sz w:val="32"/>
          <w:szCs w:val="32"/>
          <w:lang w:val="en-US" w:eastAsia="zh-CN" w:bidi="ar-SA"/>
        </w:rPr>
        <w:t>）各地</w:t>
      </w:r>
      <w:r>
        <w:rPr>
          <w:rFonts w:hint="eastAsia" w:eastAsia="仿宋_GB2312"/>
          <w:sz w:val="32"/>
          <w:szCs w:val="32"/>
          <w:lang w:val="en-US" w:eastAsia="zh-CN" w:bidi="ar-SA"/>
        </w:rPr>
        <w:t>（州、市）</w:t>
      </w:r>
      <w:r>
        <w:rPr>
          <w:rFonts w:hint="eastAsia" w:ascii="Times New Roman" w:hAnsi="Times New Roman" w:eastAsia="仿宋_GB2312"/>
          <w:sz w:val="32"/>
          <w:szCs w:val="32"/>
          <w:lang w:val="en-US" w:eastAsia="zh-CN" w:bidi="ar-SA"/>
        </w:rPr>
        <w:t>要将完成本项抽查计划中的学校采光和照明抽检任务，作为贯彻落实《综合防控儿童青少年近视实施方案》的一项重要内容，会同辖区教育行政部门做好抽检、记录和公布工作。</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sz w:val="32"/>
          <w:szCs w:val="32"/>
          <w:lang w:val="en-US" w:eastAsia="zh-CN" w:bidi="ar-SA"/>
        </w:rPr>
      </w:pPr>
      <w:r>
        <w:rPr>
          <w:rFonts w:hint="eastAsia" w:ascii="Times New Roman" w:hAnsi="Times New Roman" w:eastAsia="仿宋_GB2312"/>
          <w:sz w:val="32"/>
          <w:szCs w:val="32"/>
          <w:lang w:val="en-US" w:eastAsia="zh-CN" w:bidi="ar-SA"/>
        </w:rPr>
        <w:t>（四）各地</w:t>
      </w:r>
      <w:r>
        <w:rPr>
          <w:rFonts w:hint="eastAsia" w:eastAsia="仿宋_GB2312"/>
          <w:sz w:val="32"/>
          <w:szCs w:val="32"/>
          <w:lang w:val="en-US" w:eastAsia="zh-CN" w:bidi="ar-SA"/>
        </w:rPr>
        <w:t>（州、市）</w:t>
      </w:r>
      <w:r>
        <w:rPr>
          <w:rFonts w:hint="eastAsia" w:ascii="Times New Roman" w:hAnsi="Times New Roman" w:eastAsia="仿宋_GB2312"/>
          <w:sz w:val="32"/>
          <w:szCs w:val="32"/>
          <w:lang w:val="en-US" w:eastAsia="zh-CN" w:bidi="ar-SA"/>
        </w:rPr>
        <w:t>要切实加强对上报数据信息的审核，按照抽查工作计划表及监督信息报告卡要求填报数据信息，保证数据信息项目齐全、质量可靠。请于2023年1</w:t>
      </w:r>
      <w:r>
        <w:rPr>
          <w:rFonts w:hint="eastAsia" w:eastAsia="仿宋_GB2312"/>
          <w:sz w:val="32"/>
          <w:szCs w:val="32"/>
          <w:lang w:val="en-US" w:eastAsia="zh-CN" w:bidi="ar-SA"/>
        </w:rPr>
        <w:t>0</w:t>
      </w:r>
      <w:r>
        <w:rPr>
          <w:rFonts w:hint="eastAsia" w:ascii="Times New Roman" w:hAnsi="Times New Roman" w:eastAsia="仿宋_GB2312"/>
          <w:sz w:val="32"/>
          <w:szCs w:val="32"/>
          <w:lang w:val="en-US" w:eastAsia="zh-CN" w:bidi="ar-SA"/>
        </w:rPr>
        <w:t>月</w:t>
      </w:r>
      <w:r>
        <w:rPr>
          <w:rFonts w:hint="eastAsia" w:eastAsia="仿宋_GB2312"/>
          <w:sz w:val="32"/>
          <w:szCs w:val="32"/>
          <w:lang w:val="en-US" w:eastAsia="zh-CN" w:bidi="ar-SA"/>
        </w:rPr>
        <w:t>31</w:t>
      </w:r>
      <w:r>
        <w:rPr>
          <w:rFonts w:hint="eastAsia" w:ascii="Times New Roman" w:hAnsi="Times New Roman" w:eastAsia="仿宋_GB2312"/>
          <w:sz w:val="32"/>
          <w:szCs w:val="32"/>
          <w:lang w:val="en-US" w:eastAsia="zh-CN" w:bidi="ar-SA"/>
        </w:rPr>
        <w:t>日前完成国家随机监督抽查工作任务和数据填报工作，并向自治区卫生健康综合监督执法局学校卫生监督科报送该项工作总结，突出工作亮点。目前尚不能通过监督信息报告卡上报的数据信息，需以网络填报汇总表方式上报。所有数据以信息报告系统填报数据为准，不需另外报送纸质报表。</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sz w:val="32"/>
          <w:szCs w:val="32"/>
          <w:lang w:val="en-US" w:eastAsia="zh-CN" w:bidi="ar-SA"/>
        </w:rPr>
      </w:pPr>
      <w:r>
        <w:rPr>
          <w:rFonts w:hint="eastAsia" w:ascii="Times New Roman" w:hAnsi="Times New Roman" w:eastAsia="仿宋_GB2312"/>
          <w:sz w:val="32"/>
          <w:szCs w:val="32"/>
          <w:lang w:val="en-US" w:eastAsia="zh-CN" w:bidi="ar-SA"/>
        </w:rPr>
        <w:t>（五）各地要强化处理措施，对监督检查中发现的突出问题，及时向当地教育行政部门、政府主管部门通报情况，促进协同监管。重大案件信息要及时向上级部门报告。</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 w:hAnsi="仿宋" w:eastAsia="仿宋" w:cs="仿宋"/>
          <w:b w:val="0"/>
          <w:i w:val="0"/>
          <w:caps w:val="0"/>
          <w:color w:val="484848"/>
          <w:spacing w:val="-20"/>
          <w:sz w:val="32"/>
          <w:szCs w:val="32"/>
          <w:u w:val="none"/>
          <w:lang w:val="en-US" w:eastAsia="zh-CN"/>
        </w:rPr>
        <w:sectPr>
          <w:pgSz w:w="12240" w:h="15840"/>
          <w:pgMar w:top="1440" w:right="1800" w:bottom="1440" w:left="1800" w:header="720" w:footer="720" w:gutter="0"/>
          <w:lnNumType w:countBy="0" w:distance="360"/>
          <w:cols w:space="720" w:num="1"/>
          <w:docGrid w:type="lines" w:linePitch="312" w:charSpace="0"/>
        </w:sectPr>
      </w:pPr>
      <w:r>
        <w:rPr>
          <w:rFonts w:hint="eastAsia" w:ascii="Times New Roman" w:hAnsi="Times New Roman" w:eastAsia="仿宋_GB2312"/>
          <w:sz w:val="32"/>
          <w:szCs w:val="32"/>
          <w:lang w:val="en-US" w:eastAsia="zh-CN" w:bidi="ar-SA"/>
        </w:rPr>
        <w:t>附表： 2023年学校卫生</w:t>
      </w:r>
      <w:r>
        <w:rPr>
          <w:rFonts w:hint="eastAsia" w:eastAsia="仿宋_GB2312"/>
          <w:sz w:val="32"/>
          <w:szCs w:val="32"/>
          <w:lang w:val="en-US" w:eastAsia="zh-CN" w:bidi="ar-SA"/>
        </w:rPr>
        <w:t>国家</w:t>
      </w:r>
      <w:r>
        <w:rPr>
          <w:rFonts w:hint="eastAsia" w:ascii="Times New Roman" w:hAnsi="Times New Roman" w:eastAsia="仿宋_GB2312"/>
          <w:sz w:val="32"/>
          <w:szCs w:val="32"/>
          <w:lang w:val="en-US" w:eastAsia="zh-CN" w:bidi="ar-SA"/>
        </w:rPr>
        <w:t>随机监督抽查工作计划表</w:t>
      </w:r>
      <w:r>
        <w:rPr>
          <w:rFonts w:hint="eastAsia" w:ascii="仿宋" w:hAnsi="仿宋" w:eastAsia="仿宋" w:cs="仿宋"/>
          <w:b w:val="0"/>
          <w:i w:val="0"/>
          <w:caps w:val="0"/>
          <w:color w:val="484848"/>
          <w:spacing w:val="-20"/>
          <w:sz w:val="32"/>
          <w:szCs w:val="32"/>
          <w:u w:val="none"/>
          <w:lang w:val="en-US" w:eastAsia="zh-CN"/>
        </w:rPr>
        <w:br w:type="page"/>
      </w:r>
    </w:p>
    <w:p>
      <w:pPr>
        <w:rPr>
          <w:rFonts w:hint="eastAsia" w:ascii="仿宋" w:hAnsi="仿宋" w:eastAsia="仿宋" w:cs="仿宋"/>
          <w:b w:val="0"/>
          <w:i w:val="0"/>
          <w:caps w:val="0"/>
          <w:color w:val="484848"/>
          <w:spacing w:val="-20"/>
          <w:sz w:val="32"/>
          <w:szCs w:val="32"/>
          <w:u w:val="none"/>
          <w:lang w:val="en-US" w:eastAsia="zh-CN"/>
        </w:rPr>
      </w:pPr>
      <w:r>
        <w:rPr>
          <w:rFonts w:hint="eastAsia" w:ascii="黑体" w:hAnsi="黑体" w:eastAsia="黑体" w:cs="黑体"/>
          <w:b w:val="0"/>
          <w:i w:val="0"/>
          <w:caps w:val="0"/>
          <w:color w:val="484848"/>
          <w:spacing w:val="-20"/>
          <w:sz w:val="32"/>
          <w:szCs w:val="32"/>
          <w:u w:val="none"/>
          <w:lang w:val="en-US" w:eastAsia="zh-CN"/>
        </w:rPr>
        <w:t>附表</w:t>
      </w:r>
    </w:p>
    <w:p>
      <w:pPr>
        <w:jc w:val="center"/>
        <w:rPr>
          <w:rFonts w:hint="eastAsia" w:ascii="黑体" w:hAnsi="黑体" w:eastAsia="黑体"/>
          <w:b/>
          <w:sz w:val="44"/>
        </w:rPr>
      </w:pPr>
      <w:r>
        <w:rPr>
          <w:rFonts w:hint="eastAsia" w:ascii="宋体" w:hAnsi="宋体" w:eastAsia="宋体"/>
          <w:b/>
          <w:sz w:val="44"/>
        </w:rPr>
        <w:t>2023年学校卫生国家随机监督抽查工作计划表</w:t>
      </w:r>
    </w:p>
    <w:tbl>
      <w:tblPr>
        <w:tblStyle w:val="4"/>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2127"/>
        <w:gridCol w:w="5705"/>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1"/>
              </w:rPr>
            </w:pPr>
            <w:r>
              <w:rPr>
                <w:rFonts w:hint="default" w:ascii="Nimbus Roman No9 L" w:hAnsi="Nimbus Roman No9 L" w:eastAsia="￥ﾍﾎ￦ﾖﾇ￤ﾻ﾿￥ﾮﾋ" w:cs="Nimbus Roman No9 L"/>
                <w:sz w:val="21"/>
              </w:rPr>
              <w:t>监督检查对象</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30" w:beforeLines="30" w:after="130" w:afterLines="30" w:line="260" w:lineRule="exact"/>
              <w:jc w:val="center"/>
              <w:rPr>
                <w:rFonts w:hint="default" w:ascii="Nimbus Roman No9 L" w:hAnsi="Nimbus Roman No9 L" w:eastAsia="￥ﾍﾎ￦ﾖﾇ￤ﾻ﾿￥ﾮﾋ" w:cs="Nimbus Roman No9 L"/>
                <w:sz w:val="21"/>
              </w:rPr>
            </w:pPr>
            <w:r>
              <w:rPr>
                <w:rFonts w:hint="default" w:ascii="Nimbus Roman No9 L" w:hAnsi="Nimbus Roman No9 L" w:eastAsia="￥ﾍﾎ￦ﾖﾇ￤ﾻ﾿￥ﾮﾋ" w:cs="Nimbus Roman No9 L"/>
                <w:sz w:val="21"/>
              </w:rPr>
              <w:t>范围和数量</w:t>
            </w:r>
          </w:p>
        </w:tc>
        <w:tc>
          <w:tcPr>
            <w:tcW w:w="5705"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30" w:beforeLines="30" w:after="130" w:afterLines="30" w:line="260" w:lineRule="exact"/>
              <w:jc w:val="center"/>
              <w:rPr>
                <w:rFonts w:hint="default" w:ascii="Nimbus Roman No9 L" w:hAnsi="Nimbus Roman No9 L" w:eastAsia="￥ﾍﾎ￦ﾖﾇ￤ﾻ﾿￥ﾮﾋ" w:cs="Nimbus Roman No9 L"/>
                <w:sz w:val="21"/>
              </w:rPr>
            </w:pPr>
            <w:r>
              <w:rPr>
                <w:rFonts w:hint="default" w:ascii="Nimbus Roman No9 L" w:hAnsi="Nimbus Roman No9 L" w:eastAsia="￥ﾍﾎ￦ﾖﾇ￤ﾻ﾿￥ﾮﾋ" w:cs="Nimbus Roman No9 L"/>
                <w:sz w:val="21"/>
              </w:rPr>
              <w:t>检查内容</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30" w:beforeLines="30" w:after="130" w:afterLines="30" w:line="260" w:lineRule="exact"/>
              <w:jc w:val="center"/>
              <w:rPr>
                <w:rFonts w:hint="default" w:ascii="Nimbus Roman No9 L" w:hAnsi="Nimbus Roman No9 L" w:eastAsia="￥ﾍﾎ￦ﾖﾇ￤ﾻ﾿￥ﾮﾋ" w:cs="Nimbus Roman No9 L"/>
                <w:sz w:val="21"/>
              </w:rPr>
            </w:pPr>
            <w:r>
              <w:rPr>
                <w:rFonts w:hint="default" w:ascii="Nimbus Roman No9 L" w:hAnsi="Nimbus Roman No9 L" w:eastAsia="￥ﾍﾎ￦ﾖﾇ￤ﾻ﾿￥ﾮﾋ" w:cs="Nimbus Roman No9 L"/>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Nimbus Roman No9 L" w:hAnsi="Nimbus Roman No9 L" w:eastAsia="仿宋_GB2312" w:cs="Nimbus Roman No9 L"/>
                <w:sz w:val="21"/>
              </w:rPr>
            </w:pPr>
            <w:r>
              <w:rPr>
                <w:rFonts w:hint="default" w:ascii="Nimbus Roman No9 L" w:hAnsi="Nimbus Roman No9 L" w:eastAsia="￥ﾍﾎ￦ﾖﾇ￤ﾻ﾿￥ﾮﾋ" w:cs="Nimbus Roman No9 L"/>
                <w:sz w:val="21"/>
              </w:rPr>
              <w:t>中小学校及高校</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30" w:beforeLines="30" w:after="130" w:afterLines="30" w:line="260" w:lineRule="exact"/>
              <w:rPr>
                <w:rFonts w:hint="default" w:ascii="Nimbus Roman No9 L" w:hAnsi="Nimbus Roman No9 L" w:eastAsia="￥ﾍﾎ￦ﾖﾇ￤ﾻ﾿￥ﾮﾋ" w:cs="Nimbus Roman No9 L"/>
                <w:sz w:val="21"/>
              </w:rPr>
            </w:pPr>
            <w:r>
              <w:rPr>
                <w:rFonts w:hint="default" w:ascii="Nimbus Roman No9 L" w:hAnsi="Nimbus Roman No9 L" w:eastAsia="￥ﾍﾎ￦ﾖﾇ￤ﾻ﾿￥ﾮﾋ" w:cs="Nimbus Roman No9 L"/>
                <w:sz w:val="21"/>
              </w:rPr>
              <w:t>辖区学校总数的20%</w:t>
            </w:r>
          </w:p>
        </w:tc>
        <w:tc>
          <w:tcPr>
            <w:tcW w:w="5705"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218" w:beforeLines="50" w:line="240" w:lineRule="exact"/>
              <w:rPr>
                <w:rFonts w:hint="default" w:ascii="Nimbus Roman No9 L" w:hAnsi="Nimbus Roman No9 L" w:eastAsia="￥ﾍﾎ￦ﾖﾇ￤ﾻ﾿￥ﾮﾋ" w:cs="Nimbus Roman No9 L"/>
                <w:sz w:val="21"/>
              </w:rPr>
            </w:pPr>
            <w:r>
              <w:rPr>
                <w:rFonts w:hint="default" w:ascii="Nimbus Roman No9 L" w:hAnsi="Nimbus Roman No9 L" w:eastAsia="￥ﾍﾎ￦ﾖﾇ￤ﾻ﾿￥ﾮﾋ" w:cs="Nimbus Roman No9 L"/>
                <w:sz w:val="21"/>
              </w:rPr>
              <w:t>1.学校落实教学和生活环境卫生要求情况，包括教室课桌椅配备</w:t>
            </w:r>
            <w:r>
              <w:rPr>
                <w:rFonts w:hint="default" w:ascii="Nimbus Roman No9 L" w:hAnsi="Nimbus Roman No9 L" w:eastAsia="￥ﾍﾎ￦ﾖﾇ￤ﾻ﾿￥ﾮﾋ" w:cs="Nimbus Roman No9 L"/>
                <w:sz w:val="21"/>
                <w:vertAlign w:val="superscript"/>
              </w:rPr>
              <w:t>(a)</w:t>
            </w:r>
            <w:r>
              <w:rPr>
                <w:rFonts w:hint="default" w:ascii="Nimbus Roman No9 L" w:hAnsi="Nimbus Roman No9 L" w:eastAsia="￥ﾍﾎ￦ﾖﾇ￤ﾻ﾿￥ﾮﾋ" w:cs="Nimbus Roman No9 L"/>
                <w:sz w:val="21"/>
              </w:rPr>
              <w:t>、教室采光和照明</w:t>
            </w:r>
            <w:r>
              <w:rPr>
                <w:rFonts w:hint="default" w:ascii="Nimbus Roman No9 L" w:hAnsi="Nimbus Roman No9 L" w:eastAsia="￥ﾍﾎ￦ﾖﾇ￤ﾻ﾿￥ﾮﾋ" w:cs="Nimbus Roman No9 L"/>
                <w:sz w:val="21"/>
                <w:vertAlign w:val="superscript"/>
              </w:rPr>
              <w:t>(b)</w:t>
            </w:r>
            <w:r>
              <w:rPr>
                <w:rFonts w:hint="default" w:ascii="Nimbus Roman No9 L" w:hAnsi="Nimbus Roman No9 L" w:eastAsia="￥ﾍﾎ￦ﾖﾇ￤ﾻ﾿￥ﾮﾋ" w:cs="Nimbus Roman No9 L"/>
                <w:sz w:val="21"/>
              </w:rPr>
              <w:t>、教室人均面积、教室和宿舍通风设施、教学楼厕所及洗手设施设置等情况。学校提供的学习用品达标情况</w:t>
            </w:r>
            <w:r>
              <w:rPr>
                <w:rFonts w:hint="default" w:ascii="Nimbus Roman No9 L" w:hAnsi="Nimbus Roman No9 L" w:eastAsia="￥ﾍﾎ￦ﾖﾇ￤ﾻ﾿￥ﾮﾋ" w:cs="Nimbus Roman No9 L"/>
                <w:sz w:val="21"/>
                <w:vertAlign w:val="superscript"/>
              </w:rPr>
              <w:t>（c）</w:t>
            </w:r>
            <w:r>
              <w:rPr>
                <w:rFonts w:hint="default" w:ascii="Nimbus Roman No9 L" w:hAnsi="Nimbus Roman No9 L" w:eastAsia="￥ﾍﾎ￦ﾖﾇ￤ﾻ﾿￥ﾮﾋ" w:cs="Nimbus Roman No9 L"/>
                <w:sz w:val="21"/>
              </w:rPr>
              <w:t>,包括教室灯具</w:t>
            </w:r>
            <w:r>
              <w:rPr>
                <w:rFonts w:hint="default" w:ascii="Nimbus Roman No9 L" w:hAnsi="Nimbus Roman No9 L" w:eastAsia="￥ﾍﾎ￦ﾖﾇ￤ﾻ﾿￥ﾮﾋ" w:cs="Nimbus Roman No9 L"/>
                <w:sz w:val="21"/>
                <w:vertAlign w:val="superscript"/>
              </w:rPr>
              <w:t>(d)</w:t>
            </w:r>
            <w:r>
              <w:rPr>
                <w:rFonts w:hint="default" w:ascii="Nimbus Roman No9 L" w:hAnsi="Nimbus Roman No9 L" w:eastAsia="￥ﾍﾎ￦ﾖﾇ￤ﾻ﾿￥ﾮﾋ" w:cs="Nimbus Roman No9 L"/>
                <w:sz w:val="21"/>
              </w:rPr>
              <w:t>、考试试卷</w:t>
            </w:r>
            <w:r>
              <w:rPr>
                <w:rFonts w:hint="default" w:ascii="Nimbus Roman No9 L" w:hAnsi="Nimbus Roman No9 L" w:eastAsia="￥ﾍﾎ￦ﾖﾇ￤ﾻ﾿￥ﾮﾋ" w:cs="Nimbus Roman No9 L"/>
                <w:sz w:val="21"/>
                <w:vertAlign w:val="superscript"/>
              </w:rPr>
              <w:t>(e)</w:t>
            </w:r>
            <w:r>
              <w:rPr>
                <w:rFonts w:hint="default" w:ascii="Nimbus Roman No9 L" w:hAnsi="Nimbus Roman No9 L" w:eastAsia="￥ﾍﾎ￦ﾖﾇ￤ﾻ﾿￥ﾮﾋ" w:cs="Nimbus Roman No9 L"/>
                <w:sz w:val="21"/>
              </w:rPr>
              <w:t>等情况。</w:t>
            </w:r>
          </w:p>
          <w:p>
            <w:pPr>
              <w:keepNext/>
              <w:keepLines/>
              <w:widowControl/>
              <w:spacing w:line="240" w:lineRule="exact"/>
              <w:rPr>
                <w:rFonts w:hint="default" w:ascii="Nimbus Roman No9 L" w:hAnsi="Nimbus Roman No9 L" w:eastAsia="￥ﾍﾎ￦ﾖﾇ￤ﾻ﾿￥ﾮﾋ" w:cs="Nimbus Roman No9 L"/>
                <w:sz w:val="21"/>
                <w:lang w:val="en-US" w:eastAsia="zh-CN"/>
              </w:rPr>
            </w:pPr>
            <w:r>
              <w:rPr>
                <w:rFonts w:hint="default" w:ascii="Nimbus Roman No9 L" w:hAnsi="Nimbus Roman No9 L" w:eastAsia="￥ﾍﾎ￦ﾖﾇ￤ﾻ﾿￥ﾮﾋ" w:cs="Nimbus Roman No9 L"/>
                <w:sz w:val="21"/>
              </w:rPr>
              <w:t>2.学校落实传染病和常见病防控要求情况，包括专人负责疫情报告、传染病防控“一案八制”</w:t>
            </w:r>
            <w:r>
              <w:rPr>
                <w:rFonts w:hint="default" w:ascii="Nimbus Roman No9 L" w:hAnsi="Nimbus Roman No9 L" w:eastAsia="￥ﾍﾎ￦ﾖﾇ￤ﾻ﾿￥ﾮﾋ" w:cs="Nimbus Roman No9 L"/>
                <w:sz w:val="21"/>
                <w:vertAlign w:val="superscript"/>
              </w:rPr>
              <w:t>(f)</w:t>
            </w:r>
            <w:r>
              <w:rPr>
                <w:rFonts w:hint="default" w:ascii="Nimbus Roman No9 L" w:hAnsi="Nimbus Roman No9 L" w:eastAsia="￥ﾍﾎ￦ﾖﾇ￤ﾻ﾿￥ﾮﾋ" w:cs="Nimbus Roman No9 L"/>
                <w:sz w:val="21"/>
              </w:rPr>
              <w:t>、晨检记录和因病缺勤病因追查与登记记录、复课证明查验、新生入学接种证查验登记、按规定实施学生健康体检等情况。</w:t>
            </w:r>
            <w:r>
              <w:rPr>
                <w:rFonts w:hint="default" w:ascii="Nimbus Roman No9 L" w:hAnsi="Nimbus Roman No9 L" w:eastAsia="￥ﾍﾎ￦ﾖﾇ￤ﾻ﾿￥ﾮﾋ" w:cs="Nimbus Roman No9 L"/>
                <w:sz w:val="21"/>
                <w:lang w:eastAsia="zh-CN"/>
              </w:rPr>
              <w:t>学校新型冠状病毒感染防控措施落实情况</w:t>
            </w:r>
            <w:r>
              <w:rPr>
                <w:rFonts w:hint="default" w:ascii="Nimbus Roman No9 L" w:hAnsi="Nimbus Roman No9 L" w:eastAsia="￥ﾍﾎ￦ﾖﾇ￤ﾻ﾿￥ﾮﾋ" w:cs="Nimbus Roman No9 L"/>
                <w:sz w:val="21"/>
                <w:vertAlign w:val="superscript"/>
              </w:rPr>
              <w:t>(</w:t>
            </w:r>
            <w:r>
              <w:rPr>
                <w:rFonts w:hint="default" w:ascii="Nimbus Roman No9 L" w:hAnsi="Nimbus Roman No9 L" w:eastAsia="￥ﾍﾎ￦ﾖﾇ￤ﾻ﾿￥ﾮﾋ" w:cs="Nimbus Roman No9 L"/>
                <w:sz w:val="21"/>
                <w:vertAlign w:val="superscript"/>
                <w:lang w:val="en-US" w:eastAsia="zh-CN"/>
              </w:rPr>
              <w:t>g</w:t>
            </w:r>
            <w:r>
              <w:rPr>
                <w:rFonts w:hint="default" w:ascii="Nimbus Roman No9 L" w:hAnsi="Nimbus Roman No9 L" w:eastAsia="￥ﾍﾎ￦ﾖﾇ￤ﾻ﾿￥ﾮﾋ" w:cs="Nimbus Roman No9 L"/>
                <w:sz w:val="21"/>
                <w:vertAlign w:val="superscript"/>
              </w:rPr>
              <w:t>)</w:t>
            </w:r>
            <w:r>
              <w:rPr>
                <w:rFonts w:hint="default" w:ascii="Nimbus Roman No9 L" w:hAnsi="Nimbus Roman No9 L" w:eastAsia="￥ﾍﾎ￦ﾖﾇ￤ﾻ﾿￥ﾮﾋ" w:cs="Nimbus Roman No9 L"/>
                <w:sz w:val="21"/>
              </w:rPr>
              <w:t>。</w:t>
            </w:r>
          </w:p>
          <w:p>
            <w:pPr>
              <w:keepNext/>
              <w:keepLines/>
              <w:widowControl/>
              <w:spacing w:line="240" w:lineRule="exact"/>
              <w:rPr>
                <w:rFonts w:hint="default" w:ascii="Nimbus Roman No9 L" w:hAnsi="Nimbus Roman No9 L" w:eastAsia="￥ﾍﾎ￦ﾖﾇ￤ﾻ﾿￥ﾮﾋ" w:cs="Nimbus Roman No9 L"/>
                <w:sz w:val="21"/>
              </w:rPr>
            </w:pPr>
            <w:r>
              <w:rPr>
                <w:rFonts w:hint="default" w:ascii="Nimbus Roman No9 L" w:hAnsi="Nimbus Roman No9 L" w:eastAsia="￥ﾍﾎ￦ﾖﾇ￤ﾻ﾿￥ﾮﾋ" w:cs="Nimbus Roman No9 L"/>
                <w:sz w:val="21"/>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spacing w:after="218" w:afterLines="50" w:line="240" w:lineRule="exact"/>
              <w:rPr>
                <w:rFonts w:hint="default" w:ascii="Nimbus Roman No9 L" w:hAnsi="Nimbus Roman No9 L" w:eastAsia="￥ﾍﾎ￦ﾖﾇ￤ﾻ﾿￥ﾮﾋ" w:cs="Nimbus Roman No9 L"/>
                <w:sz w:val="21"/>
              </w:rPr>
            </w:pPr>
            <w:r>
              <w:rPr>
                <w:rFonts w:hint="default" w:ascii="Nimbus Roman No9 L" w:hAnsi="Nimbus Roman No9 L" w:eastAsia="￥ﾍﾎ￦ﾖﾇ￤ﾻ﾿￥ﾮﾋ" w:cs="Nimbus Roman No9 L"/>
                <w:sz w:val="21"/>
              </w:rPr>
              <w:t>4.学校纳入卫生监督协管服务情况。</w:t>
            </w:r>
          </w:p>
        </w:tc>
        <w:tc>
          <w:tcPr>
            <w:tcW w:w="4433"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218" w:beforeLines="50" w:line="240" w:lineRule="exact"/>
              <w:rPr>
                <w:rFonts w:hint="default" w:ascii="Nimbus Roman No9 L" w:hAnsi="Nimbus Roman No9 L" w:eastAsia="￥ﾍﾎ￦ﾖﾇ￤ﾻ﾿￥ﾮﾋ" w:cs="Nimbus Roman No9 L"/>
                <w:sz w:val="21"/>
              </w:rPr>
            </w:pPr>
            <w:r>
              <w:rPr>
                <w:rFonts w:hint="default" w:ascii="Nimbus Roman No9 L" w:hAnsi="Nimbus Roman No9 L" w:eastAsia="￥ﾍﾎ￦ﾖﾇ￤ﾻ﾿￥ﾮﾋ" w:cs="Nimbus Roman No9 L"/>
                <w:sz w:val="21"/>
              </w:rPr>
              <w:t>1.教室采光、照明及教室人均面积。</w:t>
            </w:r>
          </w:p>
          <w:p>
            <w:pPr>
              <w:keepNext/>
              <w:keepLines/>
              <w:widowControl/>
              <w:spacing w:after="218" w:afterLines="50" w:line="240" w:lineRule="exact"/>
              <w:rPr>
                <w:rFonts w:hint="default" w:ascii="Nimbus Roman No9 L" w:hAnsi="Nimbus Roman No9 L" w:eastAsia="￥ﾍﾎ￦ﾖﾇ￤ﾻ﾿￥ﾮﾋ" w:cs="Nimbus Roman No9 L"/>
                <w:sz w:val="21"/>
              </w:rPr>
            </w:pPr>
            <w:r>
              <w:rPr>
                <w:rFonts w:hint="default" w:ascii="Nimbus Roman No9 L" w:hAnsi="Nimbus Roman No9 L" w:eastAsia="￥ﾍﾎ￦ﾖﾇ￤ﾻ﾿￥ﾮﾋ" w:cs="Nimbus Roman No9 L"/>
                <w:sz w:val="21"/>
              </w:rPr>
              <w:t>2.学校自建设施集中式供水和二次供水水质色度、浑浊度、臭和味、肉眼可见物、pH和消毒剂余量。</w:t>
            </w:r>
          </w:p>
        </w:tc>
      </w:tr>
    </w:tbl>
    <w:p>
      <w:pPr>
        <w:pStyle w:val="7"/>
        <w:adjustRightInd w:val="0"/>
        <w:snapToGrid w:val="0"/>
        <w:spacing w:line="200" w:lineRule="exact"/>
        <w:ind w:firstLine="0" w:firstLineChars="0"/>
        <w:rPr>
          <w:rFonts w:ascii="宋体" w:hAnsi="宋体" w:eastAsia="宋体" w:cs="宋体"/>
          <w:sz w:val="21"/>
          <w:szCs w:val="21"/>
        </w:rPr>
      </w:pPr>
    </w:p>
    <w:p>
      <w:pPr>
        <w:pStyle w:val="7"/>
        <w:adjustRightInd w:val="0"/>
        <w:snapToGrid w:val="0"/>
        <w:spacing w:line="240" w:lineRule="exact"/>
        <w:ind w:firstLine="0" w:firstLineChars="0"/>
        <w:rPr>
          <w:rFonts w:hint="default" w:ascii="Nimbus Roman No9 L" w:hAnsi="Nimbus Roman No9 L" w:eastAsia="宋体" w:cs="Nimbus Roman No9 L"/>
          <w:sz w:val="21"/>
          <w:szCs w:val="21"/>
        </w:rPr>
      </w:pPr>
      <w:r>
        <w:rPr>
          <w:rFonts w:hint="default" w:ascii="Nimbus Roman No9 L" w:hAnsi="Nimbus Roman No9 L" w:eastAsia="宋体" w:cs="Nimbus Roman No9 L"/>
          <w:sz w:val="21"/>
          <w:szCs w:val="21"/>
        </w:rPr>
        <w:t>a.指每间教室至少设有2种不同高低型号的课桌椅，且每人一席。</w:t>
      </w:r>
    </w:p>
    <w:p>
      <w:pPr>
        <w:pStyle w:val="7"/>
        <w:adjustRightInd w:val="0"/>
        <w:snapToGrid w:val="0"/>
        <w:spacing w:line="240" w:lineRule="exact"/>
        <w:ind w:firstLine="0" w:firstLineChars="0"/>
        <w:rPr>
          <w:rFonts w:hint="default" w:ascii="Nimbus Roman No9 L" w:hAnsi="Nimbus Roman No9 L" w:eastAsia="宋体" w:cs="Nimbus Roman No9 L"/>
          <w:sz w:val="21"/>
          <w:szCs w:val="21"/>
        </w:rPr>
      </w:pPr>
      <w:r>
        <w:rPr>
          <w:rFonts w:hint="default" w:ascii="Nimbus Roman No9 L" w:hAnsi="Nimbus Roman No9 L" w:eastAsia="宋体" w:cs="Nimbus Roman No9 L"/>
          <w:sz w:val="21"/>
          <w:szCs w:val="21"/>
        </w:rPr>
        <w:t>b.教室采光和照明检查项目含窗地面积比、采光方向、防眩光措施、装设人工照明、黑板局部照明灯设置、课桌面照度及均匀度、黑板照度及均匀度，按照《中小学校教室采光和照明卫生标准》（GB7793）的规定进行达标判定。</w:t>
      </w:r>
    </w:p>
    <w:p>
      <w:pPr>
        <w:pStyle w:val="7"/>
        <w:adjustRightInd w:val="0"/>
        <w:snapToGrid w:val="0"/>
        <w:spacing w:line="240" w:lineRule="exact"/>
        <w:ind w:firstLine="0" w:firstLineChars="0"/>
        <w:rPr>
          <w:rFonts w:hint="default" w:ascii="Nimbus Roman No9 L" w:hAnsi="Nimbus Roman No9 L" w:eastAsia="宋体" w:cs="Nimbus Roman No9 L"/>
          <w:sz w:val="21"/>
          <w:szCs w:val="21"/>
        </w:rPr>
      </w:pPr>
      <w:r>
        <w:rPr>
          <w:rFonts w:hint="default" w:ascii="Nimbus Roman No9 L" w:hAnsi="Nimbus Roman No9 L" w:eastAsia="宋体" w:cs="Nimbus Roman No9 L"/>
          <w:sz w:val="21"/>
          <w:szCs w:val="21"/>
        </w:rPr>
        <w:t>c.指达到《儿童青少年学习用品近视防控卫生要求》（GB40070）相关规定情况。</w:t>
      </w:r>
    </w:p>
    <w:p>
      <w:pPr>
        <w:pStyle w:val="7"/>
        <w:adjustRightInd w:val="0"/>
        <w:snapToGrid w:val="0"/>
        <w:spacing w:line="240" w:lineRule="exact"/>
        <w:ind w:firstLine="0" w:firstLineChars="0"/>
        <w:rPr>
          <w:rFonts w:hint="default" w:ascii="Nimbus Roman No9 L" w:hAnsi="Nimbus Roman No9 L" w:eastAsia="宋体" w:cs="Nimbus Roman No9 L"/>
          <w:sz w:val="21"/>
          <w:szCs w:val="21"/>
        </w:rPr>
      </w:pPr>
      <w:r>
        <w:rPr>
          <w:rFonts w:hint="default" w:ascii="Nimbus Roman No9 L" w:hAnsi="Nimbus Roman No9 L" w:eastAsia="宋体" w:cs="Nimbus Roman No9 L"/>
          <w:sz w:val="21"/>
          <w:szCs w:val="21"/>
        </w:rPr>
        <w:t>d.灯具检查包括强制性产品认证、色温、显色指数、蓝光。可通过现场查看灯具标志标识及索证资料来完成。对于GB7001中不免除视网膜蓝光危害评估的灯具，根据IEC/TR 62778进行蓝光危害评估，黑板局部照明灯或教室一般照明灯中有一种不合格即判定为该项不合格；其他免除视网膜蓝光危害评估的灯具默认蓝光合格。</w:t>
      </w:r>
    </w:p>
    <w:p>
      <w:pPr>
        <w:pStyle w:val="7"/>
        <w:adjustRightInd w:val="0"/>
        <w:snapToGrid w:val="0"/>
        <w:spacing w:line="240" w:lineRule="exact"/>
        <w:ind w:firstLine="0" w:firstLineChars="0"/>
        <w:rPr>
          <w:rFonts w:hint="default" w:ascii="Nimbus Roman No9 L" w:hAnsi="Nimbus Roman No9 L" w:eastAsia="宋体" w:cs="Nimbus Roman No9 L"/>
          <w:sz w:val="21"/>
          <w:szCs w:val="21"/>
        </w:rPr>
      </w:pPr>
      <w:r>
        <w:rPr>
          <w:rFonts w:hint="default" w:ascii="Nimbus Roman No9 L" w:hAnsi="Nimbus Roman No9 L" w:eastAsia="宋体" w:cs="Nimbus Roman No9 L"/>
          <w:sz w:val="21"/>
          <w:szCs w:val="21"/>
        </w:rPr>
        <w:t>e.考试试卷检查包括学校自制考试试卷纸张D65亮度及D65荧光亮度、字体字号、行空。可通过实验室检测或现场查看索证资料来完成。</w:t>
      </w:r>
    </w:p>
    <w:p>
      <w:pPr>
        <w:pStyle w:val="7"/>
        <w:adjustRightInd w:val="0"/>
        <w:snapToGrid w:val="0"/>
        <w:spacing w:line="240" w:lineRule="exact"/>
        <w:ind w:firstLine="0" w:firstLineChars="0"/>
        <w:rPr>
          <w:rFonts w:hint="default" w:ascii="Nimbus Roman No9 L" w:hAnsi="Nimbus Roman No9 L" w:eastAsia="宋体" w:cs="Nimbus Roman No9 L"/>
          <w:sz w:val="21"/>
          <w:szCs w:val="21"/>
        </w:rPr>
      </w:pPr>
      <w:r>
        <w:rPr>
          <w:rFonts w:hint="default" w:ascii="Nimbus Roman No9 L" w:hAnsi="Nimbus Roman No9 L" w:eastAsia="宋体" w:cs="Nimbus Roman No9 L"/>
          <w:sz w:val="21"/>
          <w:szCs w:val="21"/>
        </w:rPr>
        <w:t>f.指《中小学校传染病预防控制工作管理规范》（GB28932）第4.8条规定的传染病预防控制应急预案和相关制度。</w:t>
      </w:r>
    </w:p>
    <w:p>
      <w:pPr>
        <w:pStyle w:val="7"/>
        <w:adjustRightInd w:val="0"/>
        <w:snapToGrid w:val="0"/>
        <w:spacing w:line="240" w:lineRule="exact"/>
        <w:ind w:firstLine="0" w:firstLineChars="0"/>
        <w:rPr>
          <w:rFonts w:hint="eastAsia" w:ascii="仿宋" w:hAnsi="仿宋" w:eastAsia="仿宋" w:cs="仿宋"/>
          <w:sz w:val="24"/>
          <w:szCs w:val="24"/>
        </w:rPr>
      </w:pPr>
      <w:r>
        <w:rPr>
          <w:rFonts w:hint="default" w:ascii="Nimbus Roman No9 L" w:hAnsi="Nimbus Roman No9 L" w:eastAsia="宋体" w:cs="Nimbus Roman No9 L"/>
          <w:sz w:val="21"/>
          <w:szCs w:val="21"/>
          <w:lang w:val="en-US" w:eastAsia="zh-CN"/>
        </w:rPr>
        <w:t>g.落实国家及属地新型冠状病毒感染防控措施要求即为合格。</w:t>
      </w:r>
    </w:p>
    <w:p>
      <w:pPr>
        <w:spacing w:beforeLines="0" w:afterLines="0"/>
        <w:jc w:val="left"/>
        <w:rPr>
          <w:rFonts w:hint="eastAsia" w:ascii="仿宋" w:hAnsi="仿宋" w:eastAsia="仿宋" w:cs="仿宋"/>
          <w:sz w:val="24"/>
          <w:szCs w:val="24"/>
        </w:rPr>
      </w:pPr>
    </w:p>
    <w:sectPr>
      <w:pgSz w:w="15840" w:h="12240" w:orient="landscape"/>
      <w:pgMar w:top="1800" w:right="1440" w:bottom="1800" w:left="144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ﾍﾎ￦ﾖﾇ￤ﾻ﾿￥ﾮﾋ">
    <w:altName w:val="华文仿宋"/>
    <w:panose1 w:val="02010600040000010101"/>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4YjgxNjgzNzcwMzYzMTc2ZDZlNTYwNThiMzJiYzAifQ=="/>
  </w:docVars>
  <w:rsids>
    <w:rsidRoot w:val="00172A27"/>
    <w:rsid w:val="0B755BCF"/>
    <w:rsid w:val="0FDE9387"/>
    <w:rsid w:val="1D260057"/>
    <w:rsid w:val="2F893B4E"/>
    <w:rsid w:val="39D931DC"/>
    <w:rsid w:val="3AF563B1"/>
    <w:rsid w:val="3C740C67"/>
    <w:rsid w:val="43661E24"/>
    <w:rsid w:val="5BED367A"/>
    <w:rsid w:val="5F9C05EB"/>
    <w:rsid w:val="701C499B"/>
    <w:rsid w:val="7BA77D25"/>
    <w:rsid w:val="7DFD298C"/>
    <w:rsid w:val="7F3341F8"/>
    <w:rsid w:val="7FCDAD58"/>
    <w:rsid w:val="D5DF310D"/>
    <w:rsid w:val="F0D78586"/>
    <w:rsid w:val="F8FF9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unhideWhenUsed/>
    <w:qFormat/>
    <w:uiPriority w:val="99"/>
    <w:pPr>
      <w:ind w:firstLine="420" w:firstLineChars="200"/>
    </w:p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2569</Words>
  <Characters>2747</Characters>
  <Lines>0</Lines>
  <Paragraphs>0</Paragraphs>
  <TotalTime>2</TotalTime>
  <ScaleCrop>false</ScaleCrop>
  <LinksUpToDate>false</LinksUpToDate>
  <CharactersWithSpaces>2763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2021-04-16T10:17:00Z</dcterms:created>
  <dc:creator>LY</dc:creator>
  <cp:lastModifiedBy>wjw</cp:lastModifiedBy>
  <dcterms:modified xsi:type="dcterms:W3CDTF">2023-05-26T18:13:03Z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013F513DB35042C1915717E3DEBCEE6B</vt:lpwstr>
  </property>
</Properties>
</file>