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新疆维吾尔自治区第三人民医院2020年度部门决算公开说明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outlineLvl w:val="1"/>
        <w:rPr>
          <w:rFonts w:ascii="仿宋_GB2312" w:eastAsia="仿宋_GB2312"/>
          <w:sz w:val="32"/>
          <w:szCs w:val="32"/>
        </w:rPr>
      </w:pPr>
      <w:bookmarkStart w:id="4" w:name="_Toc31238"/>
      <w:bookmarkStart w:id="5" w:name="_Toc2151"/>
      <w:r>
        <w:rPr>
          <w:rFonts w:hint="eastAsia" w:ascii="仿宋_GB2312" w:eastAsia="仿宋_GB2312"/>
          <w:sz w:val="32"/>
          <w:szCs w:val="32"/>
        </w:rPr>
        <w:t>新疆维吾尔自治区第三人民医院(自治区职业病医院)前身为新疆煤矿总医院，成立于1958年10月，2010年8月成为自治区卫生健康委员会直属医疗机构，是国家爱婴医院、国家矿山医疗救护中心、中国煤矿尘肺病治疗基金会定点医院、自治区工伤康复医疗定点机构，自治区职业病临床质控中心、自治区职业中毒应急处置专业队，2020年顺利授牌高级卒中中心建设单位”、“中国房颤中心建设单位”“中国心衰中心建设单位、放射卫生技术服务甲级机构。面向全区开展职业病临床诊疗工作，承担突发职业危害事故医疗救治任务，开展职业病防治医学研究，指导基层职业病诊疗工作，承担自治区职业病防治专业培训、公共卫生服务任务，面向社会开展综合医疗卫生服务。</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新疆维吾尔自治区第三人民医院2020年度，实有人数1200人，其中：在职人员1106人，离休人员0人,退休人员94人。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从部门决算单位构成看，新疆维吾尔自治区第三人民医院</w:t>
      </w:r>
      <w:r>
        <w:rPr>
          <w:rFonts w:hint="eastAsia" w:ascii="仿宋_GB2312" w:eastAsia="仿宋_GB2312"/>
          <w:sz w:val="32"/>
          <w:szCs w:val="32"/>
          <w:lang w:val="en-US" w:eastAsia="zh-CN"/>
        </w:rPr>
        <w:t>部门</w:t>
      </w:r>
      <w:r>
        <w:rPr>
          <w:rFonts w:hint="eastAsia" w:ascii="仿宋_GB2312" w:eastAsia="仿宋_GB2312"/>
          <w:sz w:val="32"/>
          <w:szCs w:val="32"/>
        </w:rPr>
        <w:t>决算包括：新疆维吾尔自治区第三人民医院决算。</w:t>
      </w:r>
      <w:r>
        <w:rPr>
          <w:rFonts w:hint="eastAsia" w:ascii="仿宋_GB2312" w:hAnsi="黑体" w:eastAsia="仿宋_GB2312" w:cs="宋体"/>
          <w:bCs/>
          <w:kern w:val="0"/>
          <w:sz w:val="32"/>
          <w:szCs w:val="32"/>
        </w:rPr>
        <w:t>单位无下属预算单位，下设63个处室，分别是：党委办公室、医院办公室、人事科、纪检监察室、医务部、护理部、院感办、质控办、病案室、科教科、财务科、退管办、医保物价办、宣传科、信息科、公共卫生科、设备科、后勤保障部、保卫科、维稳办、工会、车队、等级办、“一家亲”办公室、内分泌科、全科医学科、心血管科、重症医学科、消化内科、康复科、中医科、儿科、急诊科、心身医学科、外科、心脏外科、骨科、妇产科、神经外科、手足显微外科、手术麻醉科、整形烧伤泌尿外科、眼科、耳鼻喉科、疼痛科、口腔科、甲状腺乳腺外科、呼吸与危重症医学科、发热门诊、门诊部、检验科、输血科、供应室、功能科、放射科、药剂科、病理科、职业卫生质管办、职业卫生评价所、放射卫生防护所、职业卫生检测中心、体检中心。</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2020年度本年收入67748.11万元，与上年相比，增加1469.69万元,增长2.22%,主要原因是：2020年病患减少，门诊住院收入减少，职业防治工作南北疆业务开展困难、体检量下降。本年支出62564.82万元，与上年相比，增加8381.12万元，增长15.47%，主要原因是：检验费用增加，大量投入检测设备、试剂，医院消耗更多的消杀防护用品，人员经费等各项费用成本有所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2020年度本年收入67748.11万元，其中：财政拨款收入3323.96万元，占4.91%；上级补助收入0万元，占0%；事业收入62959.37万元，占92.93%；经营收入0万元，占0%；附属单位上缴收入0万元，占0%；其他收入1464.79万元，占2.16%。</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2020年度本年支出62564.82万元，其中：基本支出60530.72万元，占96.75%；项目支出2034.10万元，占3.25%；上缴上级支出0万元，占0%；经营支出0万元，占0%；对附属单位补助支出0万元，占0%。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2020年度财政拨款收入3323.96万元，与上年相比，增加1480.53万元，增长80.31%。主要原因是：因2020年度财政拨款含有重点专科建设、基本公共卫生等补助资金，故2020年财政补助收入较大。财政拨款支出3320.45万元，与上年相比，减少30.97万元，降低0.92%。主要原因是：其中2019年含有基建专项财政经费1508.48万元。</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1327.00万元，决算数3323.96万元，预决算差异率150.49%，主要原因是：新增加国家项目职业健康监护、放射卫生检测，重点专科建设项目增加。财政拨款支出年初预算数1327.00万元，决算数3320.45万元，预决算差异率150.22%，主要原因是：重点专科建设、基本公共卫生等补助资金增加。</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hint="eastAsia" w:ascii="仿宋_GB2312" w:eastAsia="仿宋_GB2312"/>
          <w:sz w:val="32"/>
          <w:szCs w:val="32"/>
        </w:rPr>
        <w:t>2020年度一般公共预算财政拨款支出3320.45万元。按功能分类科目项级科目公开，其中：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2060203自然科学基金10.00万元；</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2080505机关事业单位基本养老保险缴费支出250.00万元；</w:t>
      </w:r>
    </w:p>
    <w:p>
      <w:pPr>
        <w:ind w:firstLine="640" w:firstLineChars="200"/>
        <w:rPr>
          <w:rFonts w:hint="eastAsia" w:ascii="仿宋_GB2312" w:eastAsia="仿宋_GB2312"/>
          <w:sz w:val="32"/>
          <w:szCs w:val="32"/>
        </w:rPr>
      </w:pPr>
      <w:r>
        <w:rPr>
          <w:rFonts w:hint="eastAsia" w:ascii="仿宋_GB2312" w:eastAsia="仿宋_GB2312"/>
          <w:sz w:val="32"/>
          <w:szCs w:val="32"/>
        </w:rPr>
        <w:t>2080699其他企业发展改革补助57.16万元；</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2100199其他卫生健康管理事务支出21.00万元；</w:t>
      </w:r>
    </w:p>
    <w:p>
      <w:pPr>
        <w:ind w:firstLine="640" w:firstLineChars="200"/>
        <w:rPr>
          <w:rFonts w:hint="eastAsia" w:ascii="仿宋_GB2312" w:eastAsia="仿宋_GB2312"/>
          <w:sz w:val="32"/>
          <w:szCs w:val="32"/>
        </w:rPr>
      </w:pPr>
      <w:r>
        <w:rPr>
          <w:rFonts w:hint="eastAsia" w:ascii="仿宋_GB2312" w:eastAsia="仿宋_GB2312"/>
          <w:sz w:val="32"/>
          <w:szCs w:val="32"/>
        </w:rPr>
        <w:t>2100204职业病防治医院1077.90万元；</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2100299其他公立医院支出914.00万元；</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2100408基本公共卫生服务138.40万元</w:t>
      </w:r>
      <w:r>
        <w:rPr>
          <w:rFonts w:hint="eastAsia" w:ascii="仿宋_GB2312" w:eastAsia="仿宋_GB2312"/>
          <w:sz w:val="32"/>
          <w:szCs w:val="32"/>
          <w:lang w:eastAsia="zh-CN"/>
        </w:rPr>
        <w:t>；</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2100410突发公共卫生事件应急处理852万元。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2020年度一般公共预算财政拨款基本支出1294.56万元，其中：</w:t>
      </w:r>
    </w:p>
    <w:p>
      <w:pPr>
        <w:ind w:firstLine="640" w:firstLineChars="200"/>
        <w:rPr>
          <w:rFonts w:ascii="仿宋_GB2312" w:eastAsia="仿宋_GB2312"/>
          <w:sz w:val="32"/>
          <w:szCs w:val="32"/>
        </w:rPr>
      </w:pPr>
      <w:r>
        <w:rPr>
          <w:rFonts w:hint="eastAsia" w:ascii="仿宋_GB2312" w:eastAsia="仿宋_GB2312"/>
          <w:sz w:val="32"/>
          <w:szCs w:val="32"/>
        </w:rPr>
        <w:t>人员经费1294.56万元，包括：基本工资、津贴补贴、</w:t>
      </w:r>
      <w:r>
        <w:rPr>
          <w:rFonts w:hint="eastAsia" w:ascii="仿宋_GB2312" w:eastAsia="仿宋_GB2312"/>
          <w:sz w:val="32"/>
          <w:szCs w:val="32"/>
          <w:lang w:val="en-US" w:eastAsia="zh-CN"/>
        </w:rPr>
        <w:t>奖金、</w:t>
      </w:r>
      <w:r>
        <w:rPr>
          <w:rFonts w:hint="eastAsia" w:ascii="仿宋_GB2312" w:eastAsia="仿宋_GB2312"/>
          <w:sz w:val="32"/>
          <w:szCs w:val="32"/>
        </w:rPr>
        <w:t>机关事业单位基本养老保险缴费、</w:t>
      </w:r>
      <w:r>
        <w:rPr>
          <w:rFonts w:hint="eastAsia" w:ascii="仿宋_GB2312" w:eastAsia="仿宋_GB2312"/>
          <w:sz w:val="32"/>
          <w:szCs w:val="32"/>
          <w:lang w:val="en-US" w:eastAsia="zh-CN"/>
        </w:rPr>
        <w:t>退休费、</w:t>
      </w:r>
      <w:r>
        <w:rPr>
          <w:rFonts w:hint="eastAsia" w:ascii="仿宋_GB2312" w:eastAsia="仿宋_GB2312"/>
          <w:sz w:val="32"/>
          <w:szCs w:val="32"/>
        </w:rPr>
        <w:t xml:space="preserve">生活补助、医疗费补助、其他对个人和家庭的补助。 </w:t>
      </w:r>
    </w:p>
    <w:p>
      <w:pPr>
        <w:ind w:firstLine="640" w:firstLineChars="200"/>
        <w:rPr>
          <w:rFonts w:ascii="仿宋_GB2312" w:eastAsia="仿宋_GB2312"/>
          <w:sz w:val="32"/>
          <w:szCs w:val="32"/>
        </w:rPr>
      </w:pPr>
      <w:r>
        <w:rPr>
          <w:rFonts w:hint="eastAsia" w:ascii="仿宋_GB2312" w:eastAsia="仿宋_GB2312"/>
          <w:sz w:val="32"/>
          <w:szCs w:val="32"/>
        </w:rPr>
        <w:t>公用经费0万元，包括：无。</w:t>
      </w:r>
      <w:r>
        <w:rPr>
          <w:rFonts w:ascii="仿宋_GB2312" w:eastAsia="仿宋_GB2312"/>
          <w:sz w:val="32"/>
          <w:szCs w:val="32"/>
        </w:rPr>
        <w:t xml:space="preserve"> </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hint="eastAsia" w:ascii="仿宋_GB2312" w:eastAsia="仿宋_GB2312"/>
          <w:sz w:val="32"/>
          <w:szCs w:val="32"/>
        </w:rPr>
        <w:t xml:space="preserve">2020年度一般公共预算“三公”经费支出决算0万元，比上年减少67.62万元，降低100%，主要原因是2019年职业病防治业务需要新增业务用车一辆，2020年无新增。其中，因公出国（境）费支出0万元，占0%，比上年增加0万元，增长0%，主要原因是无增减变动；公务用车购置及运行维护费支出0万元，占0%，比上年减少67.62万元，降低100%，主要原因是2019年职业病防治购车57.62万元，车辆维护费10万元；公务接待费支出0万元，占0%，比上年增加0万元，增长0%，主要原因是无增减变动。具体情况如下： </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因公出国（境）费支出0万元，开支内容包括：无开支。单位全年安排的因公出国（境）团组0个，因公出国（境）0人次。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公务用车购置及运行维护费0万元，其中，公务用车购置费0万元，公务用车运行维护费0万元。公务用车运行维护费开支内容包括无开支。公务用车购置数0辆，公务用车保有量0辆。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公务接待费0万元，开支内容包括无开支。单位全年安排的国内公务接待0批次，0人次。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万元，决算数0万元，预决算差异率0%，主要原因是：我单位无“三公”经费支出。其中：因公出国（境）费预算数0万元，决算数0万元，预决算差异率0%，主要原因是：无因公出国（境）费；公务用车购置费预算数0万元，决算数0万元，预决算差异率0%，主要原因是：无公务用车购置费；公务用车运行费预算数0万元，决算数0万元，预决算差异率0%，主要原因是：无公务用车运行费；公务接待费预算数0万元，决算数0万元，预决算差异率0%，主要原因是无公务接待费。</w:t>
      </w:r>
    </w:p>
    <w:p>
      <w:pPr>
        <w:ind w:firstLine="640" w:firstLineChars="200"/>
        <w:outlineLvl w:val="1"/>
        <w:rPr>
          <w:rFonts w:ascii="仿宋_GB2312" w:eastAsia="仿宋_GB2312"/>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2020年度新疆维吾尔自治区第三人民医院单位（事业单位）日常公用经费35228.04万元，比上年减少256.28万元，降低0.72%，主要原因是南北疆地区职业卫生、放射卫生、职业健康体检业务开展困难，支出减少。</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2020年度政府采购支出总额0万元，其中：政府采购货物支出0万元、政府采购工程支出0万元、政府采购服务支出0万元。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2020年12月31日，单位共有房屋52423.84（平方米），价值21417.25万元。车辆13辆，价值365.83万元，其中：副部（省）级及以上领导用车0辆、主要领导干部用车0辆、机要通信用车0辆、应急保障用车0辆、执法执勤用车0辆、特种专业技术用车9辆、离退休干部用车0辆、其他用车4辆，其他用车主要是：职业卫生、放射卫生、</w:t>
      </w:r>
      <w:bookmarkStart w:id="54" w:name="_GoBack"/>
      <w:bookmarkEnd w:id="54"/>
      <w:r>
        <w:rPr>
          <w:rFonts w:hint="eastAsia" w:ascii="仿宋_GB2312" w:eastAsia="仿宋_GB2312"/>
          <w:sz w:val="32"/>
          <w:szCs w:val="32"/>
        </w:rPr>
        <w:t>职业健康体检、巡回医疗队等赴南北疆开展业务工作用车；单位价值50万元以上通用设备3台（套）、单位价值100万元以上专用设备29台（套）。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2020年度开展预算绩效评价项目1个，共涉及资金90.00万元。预算绩效管理取得的成效：一是我单位各项工作实施及资金使用情况均在绩效目标设定时限完成。预算安排的基本支出保障了正常的工作运转，预算安排的项目支出非常必要，在执行上是严格遵守各项财经纪律，在项目资金的使用上也是放心的，严守法律底线、纪律底线、道德底线；二是我院定期对项目实施情况进行汇总、分析，对未完成的项目查找原因，并与院内绩效考核挂钩，以利于项目的顺利完成，严格按照项目资金用途使用资金做到专款专用。发现的问题及原因：一是加强专项资金用途的规范性；二是加强资金监管力度。下一步改进措施：一是将绩效项目全院化，使得预算绩效管理成为全院管理；二是充分认识到项目资金的重要性和特殊性,以高度的责任感和使命感管好用好每一分钱,使资金的安排、使用发挥出最大效益,实现项目绩效目标。具体项目自评情况附项目支出绩效自评表。</w:t>
      </w:r>
    </w:p>
    <w:tbl>
      <w:tblPr>
        <w:tblStyle w:val="8"/>
        <w:tblW w:w="5000" w:type="pct"/>
        <w:tblInd w:w="0" w:type="dxa"/>
        <w:tblLayout w:type="autofit"/>
        <w:tblCellMar>
          <w:top w:w="0" w:type="dxa"/>
          <w:left w:w="108" w:type="dxa"/>
          <w:bottom w:w="0" w:type="dxa"/>
          <w:right w:w="108" w:type="dxa"/>
        </w:tblCellMar>
      </w:tblPr>
      <w:tblGrid>
        <w:gridCol w:w="503"/>
        <w:gridCol w:w="692"/>
        <w:gridCol w:w="725"/>
        <w:gridCol w:w="1630"/>
        <w:gridCol w:w="390"/>
        <w:gridCol w:w="330"/>
        <w:gridCol w:w="297"/>
        <w:gridCol w:w="1525"/>
        <w:gridCol w:w="2430"/>
      </w:tblGrid>
      <w:tr>
        <w:tblPrEx>
          <w:tblCellMar>
            <w:top w:w="0" w:type="dxa"/>
            <w:left w:w="108" w:type="dxa"/>
            <w:bottom w:w="0" w:type="dxa"/>
            <w:right w:w="108" w:type="dxa"/>
          </w:tblCellMar>
        </w:tblPrEx>
        <w:trPr>
          <w:trHeight w:val="735" w:hRule="atLeast"/>
        </w:trPr>
        <w:tc>
          <w:tcPr>
            <w:tcW w:w="5000" w:type="pct"/>
            <w:gridSpan w:val="9"/>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部门预算项目支出绩效目标申报表</w:t>
            </w:r>
          </w:p>
        </w:tc>
      </w:tr>
      <w:tr>
        <w:tblPrEx>
          <w:tblCellMar>
            <w:top w:w="0" w:type="dxa"/>
            <w:left w:w="108" w:type="dxa"/>
            <w:bottom w:w="0" w:type="dxa"/>
            <w:right w:w="108" w:type="dxa"/>
          </w:tblCellMar>
        </w:tblPrEx>
        <w:trPr>
          <w:trHeight w:val="312" w:hRule="atLeast"/>
        </w:trPr>
        <w:tc>
          <w:tcPr>
            <w:tcW w:w="5000" w:type="pct"/>
            <w:gridSpan w:val="9"/>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2020  </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341" w:type="pct"/>
            <w:tcBorders>
              <w:top w:val="nil"/>
              <w:left w:val="nil"/>
              <w:bottom w:val="nil"/>
              <w:right w:val="nil"/>
            </w:tcBorders>
            <w:shd w:val="clear" w:color="auto" w:fill="auto"/>
            <w:noWrap/>
            <w:vAlign w:val="center"/>
          </w:tcPr>
          <w:p>
            <w:pPr>
              <w:widowControl/>
              <w:jc w:val="left"/>
              <w:rPr>
                <w:rFonts w:ascii="宋体" w:hAnsi="宋体" w:cs="宋体"/>
                <w:kern w:val="0"/>
                <w:sz w:val="24"/>
              </w:rPr>
            </w:pPr>
          </w:p>
        </w:tc>
        <w:tc>
          <w:tcPr>
            <w:tcW w:w="452" w:type="pct"/>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471" w:type="pct"/>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1002" w:type="pct"/>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124"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05"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94"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940"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471"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26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项目名称</w:t>
            </w:r>
          </w:p>
        </w:tc>
        <w:tc>
          <w:tcPr>
            <w:tcW w:w="3736" w:type="pct"/>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职业病防治工作专项业务费</w:t>
            </w:r>
          </w:p>
        </w:tc>
      </w:tr>
      <w:tr>
        <w:tblPrEx>
          <w:tblCellMar>
            <w:top w:w="0" w:type="dxa"/>
            <w:left w:w="108" w:type="dxa"/>
            <w:bottom w:w="0" w:type="dxa"/>
            <w:right w:w="108" w:type="dxa"/>
          </w:tblCellMar>
        </w:tblPrEx>
        <w:trPr>
          <w:trHeight w:val="285" w:hRule="atLeast"/>
        </w:trPr>
        <w:tc>
          <w:tcPr>
            <w:tcW w:w="126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预算单位</w:t>
            </w:r>
          </w:p>
        </w:tc>
        <w:tc>
          <w:tcPr>
            <w:tcW w:w="3736" w:type="pct"/>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新疆维吾尔自治区第三人民医院</w:t>
            </w:r>
          </w:p>
        </w:tc>
      </w:tr>
      <w:tr>
        <w:tblPrEx>
          <w:tblCellMar>
            <w:top w:w="0" w:type="dxa"/>
            <w:left w:w="108" w:type="dxa"/>
            <w:bottom w:w="0" w:type="dxa"/>
            <w:right w:w="108" w:type="dxa"/>
          </w:tblCellMar>
        </w:tblPrEx>
        <w:trPr>
          <w:trHeight w:val="285" w:hRule="atLeast"/>
        </w:trPr>
        <w:tc>
          <w:tcPr>
            <w:tcW w:w="126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项目资金</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3736"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年度资金总额：90</w:t>
            </w:r>
          </w:p>
        </w:tc>
      </w:tr>
      <w:tr>
        <w:tblPrEx>
          <w:tblCellMar>
            <w:top w:w="0" w:type="dxa"/>
            <w:left w:w="108" w:type="dxa"/>
            <w:bottom w:w="0" w:type="dxa"/>
            <w:right w:w="108" w:type="dxa"/>
          </w:tblCellMar>
        </w:tblPrEx>
        <w:trPr>
          <w:trHeight w:val="285" w:hRule="atLeast"/>
        </w:trPr>
        <w:tc>
          <w:tcPr>
            <w:tcW w:w="126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736"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其中：财政拨款：90</w:t>
            </w:r>
          </w:p>
        </w:tc>
      </w:tr>
      <w:tr>
        <w:tblPrEx>
          <w:tblCellMar>
            <w:top w:w="0" w:type="dxa"/>
            <w:left w:w="108" w:type="dxa"/>
            <w:bottom w:w="0" w:type="dxa"/>
            <w:right w:w="108" w:type="dxa"/>
          </w:tblCellMar>
        </w:tblPrEx>
        <w:trPr>
          <w:trHeight w:val="285" w:hRule="atLeast"/>
        </w:trPr>
        <w:tc>
          <w:tcPr>
            <w:tcW w:w="126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736"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其他资金</w:t>
            </w:r>
          </w:p>
        </w:tc>
      </w:tr>
      <w:tr>
        <w:tblPrEx>
          <w:tblCellMar>
            <w:top w:w="0" w:type="dxa"/>
            <w:left w:w="108" w:type="dxa"/>
            <w:bottom w:w="0" w:type="dxa"/>
            <w:right w:w="108" w:type="dxa"/>
          </w:tblCellMar>
        </w:tblPrEx>
        <w:trPr>
          <w:trHeight w:val="375" w:hRule="atLeast"/>
        </w:trPr>
        <w:tc>
          <w:tcPr>
            <w:tcW w:w="3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总</w:t>
            </w:r>
            <w:r>
              <w:rPr>
                <w:rFonts w:hint="eastAsia" w:ascii="宋体" w:hAnsi="宋体" w:cs="宋体"/>
                <w:kern w:val="0"/>
                <w:sz w:val="20"/>
                <w:szCs w:val="20"/>
              </w:rPr>
              <w:br w:type="textWrapping"/>
            </w:r>
            <w:r>
              <w:rPr>
                <w:rFonts w:hint="eastAsia" w:ascii="宋体" w:hAnsi="宋体" w:cs="宋体"/>
                <w:kern w:val="0"/>
                <w:sz w:val="20"/>
                <w:szCs w:val="20"/>
              </w:rPr>
              <w:t>体</w:t>
            </w:r>
            <w:r>
              <w:rPr>
                <w:rFonts w:hint="eastAsia" w:ascii="宋体" w:hAnsi="宋体" w:cs="宋体"/>
                <w:kern w:val="0"/>
                <w:sz w:val="20"/>
                <w:szCs w:val="20"/>
              </w:rPr>
              <w:br w:type="textWrapping"/>
            </w:r>
            <w:r>
              <w:rPr>
                <w:rFonts w:hint="eastAsia" w:ascii="宋体" w:hAnsi="宋体" w:cs="宋体"/>
                <w:kern w:val="0"/>
                <w:sz w:val="20"/>
                <w:szCs w:val="20"/>
              </w:rPr>
              <w:t>目</w:t>
            </w:r>
            <w:r>
              <w:rPr>
                <w:rFonts w:hint="eastAsia" w:ascii="宋体" w:hAnsi="宋体" w:cs="宋体"/>
                <w:kern w:val="0"/>
                <w:sz w:val="20"/>
                <w:szCs w:val="20"/>
              </w:rPr>
              <w:br w:type="textWrapping"/>
            </w:r>
            <w:r>
              <w:rPr>
                <w:rFonts w:hint="eastAsia" w:ascii="宋体" w:hAnsi="宋体" w:cs="宋体"/>
                <w:kern w:val="0"/>
                <w:sz w:val="20"/>
                <w:szCs w:val="20"/>
              </w:rPr>
              <w:t>标</w:t>
            </w:r>
          </w:p>
        </w:tc>
        <w:tc>
          <w:tcPr>
            <w:tcW w:w="4659" w:type="pct"/>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年度目标</w:t>
            </w:r>
          </w:p>
        </w:tc>
      </w:tr>
      <w:tr>
        <w:tblPrEx>
          <w:tblCellMar>
            <w:top w:w="0" w:type="dxa"/>
            <w:left w:w="108" w:type="dxa"/>
            <w:bottom w:w="0" w:type="dxa"/>
            <w:right w:w="108" w:type="dxa"/>
          </w:tblCellMar>
        </w:tblPrEx>
        <w:trPr>
          <w:trHeight w:val="1515"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659" w:type="pct"/>
            <w:gridSpan w:val="8"/>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kern w:val="0"/>
                <w:sz w:val="20"/>
                <w:szCs w:val="20"/>
              </w:rPr>
            </w:pPr>
            <w:r>
              <w:rPr>
                <w:rFonts w:hint="eastAsia" w:ascii="宋体" w:hAnsi="宋体" w:cs="宋体"/>
                <w:kern w:val="0"/>
                <w:sz w:val="20"/>
                <w:szCs w:val="20"/>
              </w:rPr>
              <w:br w:type="textWrapping"/>
            </w:r>
            <w:r>
              <w:rPr>
                <w:rFonts w:hint="eastAsia" w:ascii="宋体" w:hAnsi="宋体" w:cs="宋体"/>
                <w:kern w:val="0"/>
                <w:sz w:val="20"/>
                <w:szCs w:val="20"/>
              </w:rPr>
              <w:t>开展对作业场所职业危害因素检测，建设项目职业危害评价，预防和减少职业病发生的因素。面向全疆各级职业卫生技术服务机构、职业病防治机构、企业管理层、产业工人等各阶层开展职业病预防、治疗、职业防治法和职业卫生专业技术宣传指导。不断促进职业病防治工作。</w:t>
            </w:r>
          </w:p>
        </w:tc>
      </w:tr>
      <w:tr>
        <w:tblPrEx>
          <w:tblCellMar>
            <w:top w:w="0" w:type="dxa"/>
            <w:left w:w="108" w:type="dxa"/>
            <w:bottom w:w="0" w:type="dxa"/>
            <w:right w:w="108" w:type="dxa"/>
          </w:tblCellMar>
        </w:tblPrEx>
        <w:trPr>
          <w:trHeight w:val="498" w:hRule="atLeast"/>
        </w:trPr>
        <w:tc>
          <w:tcPr>
            <w:tcW w:w="3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绩</w:t>
            </w:r>
            <w:r>
              <w:rPr>
                <w:rFonts w:hint="eastAsia" w:ascii="宋体" w:hAnsi="宋体" w:cs="宋体"/>
                <w:kern w:val="0"/>
                <w:sz w:val="20"/>
                <w:szCs w:val="20"/>
              </w:rPr>
              <w:br w:type="textWrapping"/>
            </w:r>
            <w:r>
              <w:rPr>
                <w:rFonts w:hint="eastAsia" w:ascii="宋体" w:hAnsi="宋体" w:cs="宋体"/>
                <w:kern w:val="0"/>
                <w:sz w:val="20"/>
                <w:szCs w:val="20"/>
              </w:rPr>
              <w:t>效</w:t>
            </w:r>
            <w:r>
              <w:rPr>
                <w:rFonts w:hint="eastAsia" w:ascii="宋体" w:hAnsi="宋体" w:cs="宋体"/>
                <w:kern w:val="0"/>
                <w:sz w:val="20"/>
                <w:szCs w:val="20"/>
              </w:rPr>
              <w:br w:type="textWrapping"/>
            </w:r>
            <w:r>
              <w:rPr>
                <w:rFonts w:hint="eastAsia" w:ascii="宋体" w:hAnsi="宋体" w:cs="宋体"/>
                <w:kern w:val="0"/>
                <w:sz w:val="20"/>
                <w:szCs w:val="20"/>
              </w:rPr>
              <w:t>指</w:t>
            </w:r>
            <w:r>
              <w:rPr>
                <w:rFonts w:hint="eastAsia" w:ascii="宋体" w:hAnsi="宋体" w:cs="宋体"/>
                <w:kern w:val="0"/>
                <w:sz w:val="20"/>
                <w:szCs w:val="20"/>
              </w:rPr>
              <w:br w:type="textWrapping"/>
            </w:r>
            <w:r>
              <w:rPr>
                <w:rFonts w:hint="eastAsia" w:ascii="宋体" w:hAnsi="宋体" w:cs="宋体"/>
                <w:kern w:val="0"/>
                <w:sz w:val="20"/>
                <w:szCs w:val="20"/>
              </w:rPr>
              <w:t>标</w:t>
            </w:r>
          </w:p>
        </w:tc>
        <w:tc>
          <w:tcPr>
            <w:tcW w:w="45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47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0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指标值（包含数字及文字描述）</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实际完成值</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未完成原因和改进措施</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w:t>
            </w:r>
          </w:p>
        </w:tc>
        <w:tc>
          <w:tcPr>
            <w:tcW w:w="47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职业病危害因素检测</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≥70家单位</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70家单位</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职业病危害因素评价</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≥13家单位</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13家单位</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放射性职业病危害评价</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≥60家单位</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60家单位</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461"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放射防护状态检测</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≥120家单位</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116家单位</w:t>
            </w:r>
          </w:p>
        </w:tc>
        <w:tc>
          <w:tcPr>
            <w:tcW w:w="1471"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因2020年疫情防控和市场竞争原因，评价和检测工作量有了一定下滑，后期加快工作进度</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个人剂量监测</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≥3500人</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3500人</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职业病体检</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≥40000人</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40000人</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职业病防治培训</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≥20家单位</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20家单位</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461"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监测任务完成率</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99%</w:t>
            </w:r>
          </w:p>
        </w:tc>
        <w:tc>
          <w:tcPr>
            <w:tcW w:w="1471"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因2020年疫情防控和市场竞争原因，评价和检测工作量有了一定下滑，后期加快工作进度</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监测任务完成时间</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2020年12月30日</w:t>
            </w:r>
          </w:p>
        </w:tc>
        <w:tc>
          <w:tcPr>
            <w:tcW w:w="940" w:type="pct"/>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2020年12月30日</w:t>
            </w:r>
          </w:p>
        </w:tc>
        <w:tc>
          <w:tcPr>
            <w:tcW w:w="1471"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项目成本</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90万元</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90万元</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效益指标 </w:t>
            </w:r>
          </w:p>
        </w:tc>
        <w:tc>
          <w:tcPr>
            <w:tcW w:w="47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减少企业职业病的发生 </w:t>
            </w:r>
          </w:p>
        </w:tc>
        <w:tc>
          <w:tcPr>
            <w:tcW w:w="323" w:type="pct"/>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持续下降 </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持续下降 </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98" w:hRule="atLeast"/>
        </w:trPr>
        <w:tc>
          <w:tcPr>
            <w:tcW w:w="3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47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002"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企业职工满意度</w:t>
            </w:r>
          </w:p>
        </w:tc>
        <w:tc>
          <w:tcPr>
            <w:tcW w:w="3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≥95%</w:t>
            </w:r>
          </w:p>
        </w:tc>
        <w:tc>
          <w:tcPr>
            <w:tcW w:w="94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95%</w:t>
            </w:r>
          </w:p>
        </w:tc>
        <w:tc>
          <w:tcPr>
            <w:tcW w:w="1471"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bl>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A31ED5-264A-4643-AA95-AB16566093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1F72EB5-0151-44CE-9165-B1837F967AB3}"/>
  </w:font>
  <w:font w:name="仿宋_GB2312">
    <w:panose1 w:val="02010609030101010101"/>
    <w:charset w:val="86"/>
    <w:family w:val="modern"/>
    <w:pitch w:val="default"/>
    <w:sig w:usb0="00000001" w:usb1="080E0000" w:usb2="00000000" w:usb3="00000000" w:csb0="00040000" w:csb1="00000000"/>
    <w:embedRegular r:id="rId3" w:fontKey="{9A3E6559-6877-43D3-AE59-D97F13B12E4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7D9"/>
    <w:rsid w:val="000544A3"/>
    <w:rsid w:val="000C7FA4"/>
    <w:rsid w:val="000E22A5"/>
    <w:rsid w:val="000E6D28"/>
    <w:rsid w:val="00104F2E"/>
    <w:rsid w:val="001658C9"/>
    <w:rsid w:val="00175D2C"/>
    <w:rsid w:val="00177ABF"/>
    <w:rsid w:val="001D78D4"/>
    <w:rsid w:val="001E4F8C"/>
    <w:rsid w:val="001E7202"/>
    <w:rsid w:val="0020180A"/>
    <w:rsid w:val="002228FE"/>
    <w:rsid w:val="002419BC"/>
    <w:rsid w:val="00274148"/>
    <w:rsid w:val="002B7D6D"/>
    <w:rsid w:val="002C583D"/>
    <w:rsid w:val="002D14B3"/>
    <w:rsid w:val="002D2E38"/>
    <w:rsid w:val="00355809"/>
    <w:rsid w:val="00393E8D"/>
    <w:rsid w:val="003954E3"/>
    <w:rsid w:val="003B2488"/>
    <w:rsid w:val="003F2C13"/>
    <w:rsid w:val="00400110"/>
    <w:rsid w:val="0042232E"/>
    <w:rsid w:val="004353E0"/>
    <w:rsid w:val="004F0DB1"/>
    <w:rsid w:val="00535E17"/>
    <w:rsid w:val="00542B0B"/>
    <w:rsid w:val="005962FA"/>
    <w:rsid w:val="005B607D"/>
    <w:rsid w:val="005C6230"/>
    <w:rsid w:val="005D061E"/>
    <w:rsid w:val="00615844"/>
    <w:rsid w:val="0066117B"/>
    <w:rsid w:val="006940DF"/>
    <w:rsid w:val="006F34A0"/>
    <w:rsid w:val="00713CAF"/>
    <w:rsid w:val="00737074"/>
    <w:rsid w:val="0074177F"/>
    <w:rsid w:val="00747487"/>
    <w:rsid w:val="00773350"/>
    <w:rsid w:val="007E0FA0"/>
    <w:rsid w:val="008115E0"/>
    <w:rsid w:val="00831908"/>
    <w:rsid w:val="008712EB"/>
    <w:rsid w:val="008B3641"/>
    <w:rsid w:val="008C11B2"/>
    <w:rsid w:val="008E0ABA"/>
    <w:rsid w:val="008F7515"/>
    <w:rsid w:val="008F7AB5"/>
    <w:rsid w:val="008F7EE6"/>
    <w:rsid w:val="00913A8D"/>
    <w:rsid w:val="00966B9B"/>
    <w:rsid w:val="00973E91"/>
    <w:rsid w:val="009A6733"/>
    <w:rsid w:val="009C0B3A"/>
    <w:rsid w:val="00A026F9"/>
    <w:rsid w:val="00A33CF0"/>
    <w:rsid w:val="00A36BE8"/>
    <w:rsid w:val="00A83117"/>
    <w:rsid w:val="00AA3A69"/>
    <w:rsid w:val="00AE59EF"/>
    <w:rsid w:val="00B16030"/>
    <w:rsid w:val="00B51494"/>
    <w:rsid w:val="00B51A64"/>
    <w:rsid w:val="00B72958"/>
    <w:rsid w:val="00BB7B26"/>
    <w:rsid w:val="00BD0E55"/>
    <w:rsid w:val="00C179B1"/>
    <w:rsid w:val="00C23FFC"/>
    <w:rsid w:val="00C81F8D"/>
    <w:rsid w:val="00C90A54"/>
    <w:rsid w:val="00C95B8C"/>
    <w:rsid w:val="00C9785F"/>
    <w:rsid w:val="00CA799D"/>
    <w:rsid w:val="00CB47D9"/>
    <w:rsid w:val="00D16BD8"/>
    <w:rsid w:val="00D622A0"/>
    <w:rsid w:val="00D877E3"/>
    <w:rsid w:val="00DA698A"/>
    <w:rsid w:val="00DA7BD7"/>
    <w:rsid w:val="00DE251A"/>
    <w:rsid w:val="00E6591A"/>
    <w:rsid w:val="00E80F3E"/>
    <w:rsid w:val="00EA0F8F"/>
    <w:rsid w:val="00EB5F1D"/>
    <w:rsid w:val="00EC033C"/>
    <w:rsid w:val="00ED0468"/>
    <w:rsid w:val="00F0432B"/>
    <w:rsid w:val="00F061EA"/>
    <w:rsid w:val="00F44FF9"/>
    <w:rsid w:val="00F70EA3"/>
    <w:rsid w:val="00F85FD4"/>
    <w:rsid w:val="04131DFB"/>
    <w:rsid w:val="06792773"/>
    <w:rsid w:val="07614D66"/>
    <w:rsid w:val="0BE53247"/>
    <w:rsid w:val="0C7227A7"/>
    <w:rsid w:val="12AD766B"/>
    <w:rsid w:val="14BF2BD8"/>
    <w:rsid w:val="183B5676"/>
    <w:rsid w:val="1D320E99"/>
    <w:rsid w:val="1DAF458D"/>
    <w:rsid w:val="1FE8583F"/>
    <w:rsid w:val="24D6219A"/>
    <w:rsid w:val="27CF2642"/>
    <w:rsid w:val="29C727A4"/>
    <w:rsid w:val="2A053397"/>
    <w:rsid w:val="2D1136DF"/>
    <w:rsid w:val="2FD27414"/>
    <w:rsid w:val="31C63837"/>
    <w:rsid w:val="33883D4B"/>
    <w:rsid w:val="3D5275AC"/>
    <w:rsid w:val="465C3671"/>
    <w:rsid w:val="46901EEE"/>
    <w:rsid w:val="469C74D2"/>
    <w:rsid w:val="4B8A6C50"/>
    <w:rsid w:val="4F716EAC"/>
    <w:rsid w:val="50BB42EB"/>
    <w:rsid w:val="50DB5F45"/>
    <w:rsid w:val="551F7C79"/>
    <w:rsid w:val="5AF076C2"/>
    <w:rsid w:val="5C814A76"/>
    <w:rsid w:val="61A46A97"/>
    <w:rsid w:val="650D4B0E"/>
    <w:rsid w:val="69AD798C"/>
    <w:rsid w:val="6B312706"/>
    <w:rsid w:val="6B68175F"/>
    <w:rsid w:val="6F83444C"/>
    <w:rsid w:val="730A1224"/>
    <w:rsid w:val="73FB6630"/>
    <w:rsid w:val="77ED6F44"/>
    <w:rsid w:val="7BA94227"/>
    <w:rsid w:val="7E187A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C535A-3EF6-42C3-A9D9-0BAB6E08E39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1052</Words>
  <Characters>6002</Characters>
  <Lines>50</Lines>
  <Paragraphs>14</Paragraphs>
  <TotalTime>10</TotalTime>
  <ScaleCrop>false</ScaleCrop>
  <LinksUpToDate>false</LinksUpToDate>
  <CharactersWithSpaces>7040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dcterms:modified xsi:type="dcterms:W3CDTF">2022-05-07T02:32:01Z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0452BF38F298473CA608D408CC44C985</vt:lpwstr>
  </property>
</Properties>
</file>