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新疆维吾尔自治区老年大学2020年度</w:t>
      </w:r>
    </w:p>
    <w:p>
      <w:pPr>
        <w:jc w:val="center"/>
        <w:rPr>
          <w:rFonts w:ascii="方正小标宋_GBK" w:hAnsi="宋体" w:eastAsia="方正小标宋_GBK"/>
          <w:sz w:val="44"/>
          <w:szCs w:val="44"/>
        </w:rPr>
      </w:pPr>
      <w:r>
        <w:rPr>
          <w:rFonts w:hint="eastAsia" w:ascii="方正小标宋_GBK" w:hAnsi="宋体" w:eastAsia="方正小标宋_GBK"/>
          <w:sz w:val="44"/>
          <w:szCs w:val="44"/>
        </w:rPr>
        <w:t>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bookmarkStart w:id="4" w:name="_Toc29374"/>
      <w:bookmarkStart w:id="5" w:name="_Toc3092"/>
      <w:r>
        <w:rPr>
          <w:rFonts w:hint="eastAsia" w:ascii="黑体" w:hAnsi="黑体" w:eastAsia="黑体" w:cs="宋体"/>
          <w:bCs/>
          <w:kern w:val="0"/>
          <w:sz w:val="32"/>
          <w:szCs w:val="32"/>
        </w:rPr>
        <w:t>一、主要职能</w:t>
      </w:r>
      <w:bookmarkEnd w:id="2"/>
      <w:bookmarkEnd w:id="3"/>
    </w:p>
    <w:p>
      <w:pPr>
        <w:spacing w:line="560" w:lineRule="exact"/>
        <w:ind w:firstLine="624" w:firstLineChars="200"/>
        <w:rPr>
          <w:rFonts w:ascii="仿宋_GB2312" w:eastAsia="仿宋_GB2312"/>
          <w:sz w:val="32"/>
          <w:szCs w:val="32"/>
        </w:rPr>
      </w:pPr>
      <w:r>
        <w:rPr>
          <w:rStyle w:val="10"/>
          <w:rFonts w:hint="eastAsia" w:eastAsia="仿宋_GB2312"/>
          <w:b w:val="0"/>
          <w:spacing w:val="-4"/>
          <w:sz w:val="32"/>
          <w:szCs w:val="32"/>
        </w:rPr>
        <w:t>贯彻执行党和国家有关老年教育的方针、政策、法律、法规；开展老年教育理论研究；编写与修订教学计划和主要学科的教学大纲，对全区各级各类老年大学起着示范和引领作用。</w:t>
      </w:r>
    </w:p>
    <w:p>
      <w:pPr>
        <w:ind w:firstLine="640" w:firstLineChars="200"/>
        <w:outlineLvl w:val="1"/>
        <w:rPr>
          <w:rFonts w:ascii="黑体" w:hAnsi="黑体" w:eastAsia="黑体" w:cs="宋体"/>
          <w:bCs/>
          <w:kern w:val="0"/>
          <w:sz w:val="32"/>
          <w:szCs w:val="32"/>
        </w:rPr>
      </w:pPr>
      <w:bookmarkStart w:id="6" w:name="_Toc31238"/>
      <w:bookmarkStart w:id="7" w:name="_Toc2151"/>
      <w:r>
        <w:rPr>
          <w:rFonts w:hint="eastAsia" w:ascii="黑体" w:hAnsi="黑体" w:eastAsia="黑体" w:cs="宋体"/>
          <w:bCs/>
          <w:kern w:val="0"/>
          <w:sz w:val="32"/>
          <w:szCs w:val="32"/>
        </w:rPr>
        <w:t>二、机构设置及</w:t>
      </w:r>
      <w:bookmarkEnd w:id="6"/>
      <w:r>
        <w:rPr>
          <w:rFonts w:hint="eastAsia" w:ascii="黑体" w:hAnsi="黑体" w:eastAsia="黑体" w:cs="宋体"/>
          <w:bCs/>
          <w:kern w:val="0"/>
          <w:sz w:val="32"/>
          <w:szCs w:val="32"/>
        </w:rPr>
        <w:t>人员情况</w:t>
      </w:r>
      <w:bookmarkEnd w:id="7"/>
    </w:p>
    <w:p>
      <w:pPr>
        <w:ind w:firstLine="640" w:firstLineChars="200"/>
        <w:rPr>
          <w:rFonts w:ascii="仿宋_GB2312" w:eastAsia="仿宋_GB2312"/>
          <w:sz w:val="32"/>
          <w:szCs w:val="32"/>
        </w:rPr>
      </w:pPr>
      <w:r>
        <w:rPr>
          <w:rFonts w:hint="eastAsia" w:ascii="仿宋_GB2312" w:eastAsia="仿宋_GB2312"/>
          <w:sz w:val="32"/>
          <w:szCs w:val="32"/>
        </w:rPr>
        <w:t>新疆维吾尔自治区老年大学2020年度，实有人数28人，其中：在职人员22人，离休人员0人，退休人员6人。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从部门决算单位构成看，新疆维吾尔自治区老年大学部门决算包括：新疆维吾尔自治区老年大学决算。单位无下属预算单位，</w:t>
      </w:r>
      <w:r>
        <w:rPr>
          <w:rFonts w:hint="eastAsia" w:ascii="仿宋_GB2312" w:hAnsi="仿宋" w:eastAsia="仿宋_GB2312"/>
          <w:color w:val="000000"/>
          <w:sz w:val="32"/>
          <w:szCs w:val="32"/>
        </w:rPr>
        <w:t>下设5个处室，分别是：办公室、教务处、教研室、老年健康促进处、总务处。</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4"/>
      <w:bookmarkEnd w:id="5"/>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bookmarkStart w:id="10" w:name="_Toc12142"/>
      <w:bookmarkStart w:id="11" w:name="_Toc1979"/>
      <w:r>
        <w:rPr>
          <w:rFonts w:hint="eastAsia" w:ascii="仿宋_GB2312" w:eastAsia="仿宋_GB2312"/>
          <w:sz w:val="32"/>
          <w:szCs w:val="32"/>
        </w:rPr>
        <w:t>2020年度本年收入812.70万元，与上年相比，增加63.04万元，增长8.41%，主要原因是：2020年度人员、日常公用经费稍许增加</w:t>
      </w:r>
      <w:r>
        <w:rPr>
          <w:rFonts w:hint="eastAsia" w:ascii="仿宋" w:hAnsi="仿宋" w:eastAsia="仿宋"/>
          <w:sz w:val="32"/>
          <w:szCs w:val="32"/>
        </w:rPr>
        <w:t>。</w:t>
      </w:r>
      <w:r>
        <w:rPr>
          <w:rFonts w:hint="eastAsia" w:ascii="仿宋_GB2312" w:eastAsia="仿宋_GB2312"/>
          <w:sz w:val="32"/>
          <w:szCs w:val="32"/>
        </w:rPr>
        <w:t>本年支出823.71万元，与上年相比，增加90.01万元，增长12.27%，主要原因是：人员、日常公用经费增加。</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bookmarkStart w:id="12" w:name="_Toc27961"/>
      <w:bookmarkStart w:id="13" w:name="_Toc13201"/>
      <w:r>
        <w:rPr>
          <w:rFonts w:hint="eastAsia" w:ascii="仿宋_GB2312" w:eastAsia="仿宋_GB2312"/>
          <w:sz w:val="32"/>
          <w:szCs w:val="32"/>
        </w:rPr>
        <w:t>2020年度本年收入812.70万元，其中：财政拨款收入812.70万元，占100%；上级补助收入0万元，占0%；事业收入0万元，占0%；经营收入0万元，占0%；附属单位上缴收入0万元，占0%；其他收入0万元，占0%。</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bookmarkStart w:id="14" w:name="_Toc26564"/>
      <w:bookmarkStart w:id="15" w:name="_Toc4393"/>
      <w:r>
        <w:rPr>
          <w:rFonts w:hint="eastAsia" w:ascii="仿宋_GB2312" w:eastAsia="仿宋_GB2312"/>
          <w:sz w:val="32"/>
          <w:szCs w:val="32"/>
        </w:rPr>
        <w:t>2020年度本年支出823.71万元，其中：基本支出338.27万元，占41.07%；项目支出485.44万元，占58.93%；上缴上级支出0万元，占0%；经营支出0万元，占0%；对附属单位补助支出0万元，占0%。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hint="eastAsia" w:ascii="仿宋_GB2312" w:hAnsi="仿宋_GB2312" w:eastAsia="仿宋_GB2312" w:cs="仿宋_GB2312"/>
          <w:sz w:val="32"/>
          <w:szCs w:val="32"/>
        </w:rPr>
      </w:pPr>
      <w:bookmarkStart w:id="16" w:name="_Toc13833"/>
      <w:bookmarkStart w:id="17" w:name="_Toc20360"/>
      <w:r>
        <w:rPr>
          <w:rFonts w:hint="eastAsia" w:ascii="仿宋_GB2312" w:hAnsi="仿宋_GB2312" w:eastAsia="仿宋_GB2312" w:cs="仿宋_GB2312"/>
          <w:sz w:val="32"/>
          <w:szCs w:val="32"/>
        </w:rPr>
        <w:t>2020年度财政拨款收入812.70万元，与上年相比，增加63.04万元，增长8.41%。主要原因是：人员、日常公用经费增加，新增老年大学活动经费项目。财政拨款支出823.71万元，与上年相比，增加90.01万元，增长12.27%，主要原因是：人员、日常公用经费增加，老年大学活动经费支出较上年有所增加。</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与年初预算数相比情况：财政拨款收入年初预算数777.64万元，决算数812.70万元，预决算差</w:t>
      </w:r>
      <w:r>
        <w:rPr>
          <w:rFonts w:hint="eastAsia" w:ascii="仿宋" w:hAnsi="仿宋" w:eastAsia="仿宋"/>
          <w:sz w:val="32"/>
          <w:szCs w:val="32"/>
        </w:rPr>
        <w:t>异率4.5%，</w:t>
      </w:r>
      <w:r>
        <w:rPr>
          <w:rFonts w:hint="eastAsia" w:ascii="仿宋_GB2312" w:eastAsia="仿宋_GB2312"/>
          <w:sz w:val="32"/>
          <w:szCs w:val="32"/>
        </w:rPr>
        <w:t>主要原因是：财政拨款差额所致。财政拨款支出年初预算数777.64万元，决算数823.71万元，预决算差异率5.92%，主要原因是：财政拨款差额。</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hint="eastAsia" w:ascii="仿宋_GB2312" w:eastAsia="仿宋_GB2312"/>
          <w:sz w:val="32"/>
          <w:szCs w:val="32"/>
        </w:rPr>
        <w:t>2020 年度一般公共预算财政拨款支出812.70万元。按功能分类科目项级科目公开，其中：</w:t>
      </w:r>
    </w:p>
    <w:p>
      <w:pPr>
        <w:ind w:firstLine="640" w:firstLineChars="200"/>
        <w:rPr>
          <w:rFonts w:ascii="仿宋_GB2312" w:eastAsia="仿宋_GB2312"/>
          <w:sz w:val="32"/>
          <w:szCs w:val="32"/>
        </w:rPr>
      </w:pPr>
      <w:r>
        <w:rPr>
          <w:rFonts w:hint="eastAsia" w:ascii="仿宋_GB2312" w:eastAsia="仿宋_GB2312"/>
          <w:sz w:val="32"/>
          <w:szCs w:val="32"/>
        </w:rPr>
        <w:t>2080502事业单位离退休8.20万元；</w:t>
      </w:r>
    </w:p>
    <w:p>
      <w:pPr>
        <w:ind w:firstLine="640" w:firstLineChars="200"/>
        <w:rPr>
          <w:rFonts w:ascii="仿宋_GB2312" w:eastAsia="仿宋_GB2312"/>
          <w:sz w:val="32"/>
          <w:szCs w:val="32"/>
        </w:rPr>
      </w:pPr>
      <w:r>
        <w:rPr>
          <w:rFonts w:hint="eastAsia" w:ascii="仿宋_GB2312" w:eastAsia="仿宋_GB2312"/>
          <w:sz w:val="32"/>
          <w:szCs w:val="32"/>
        </w:rPr>
        <w:t>2080505机关事业单位基本养老保险缴费支出22.83万元；</w:t>
      </w:r>
    </w:p>
    <w:p>
      <w:pPr>
        <w:ind w:firstLine="640" w:firstLineChars="200"/>
        <w:rPr>
          <w:rFonts w:ascii="仿宋_GB2312" w:eastAsia="仿宋_GB2312"/>
          <w:sz w:val="32"/>
          <w:szCs w:val="32"/>
        </w:rPr>
      </w:pPr>
      <w:r>
        <w:rPr>
          <w:rFonts w:hint="eastAsia" w:ascii="仿宋_GB2312" w:eastAsia="仿宋_GB2312"/>
          <w:sz w:val="32"/>
          <w:szCs w:val="32"/>
        </w:rPr>
        <w:t>2100408基本公共卫生服务30.00万元；</w:t>
      </w:r>
    </w:p>
    <w:p>
      <w:pPr>
        <w:ind w:firstLine="640" w:firstLineChars="200"/>
        <w:rPr>
          <w:rFonts w:ascii="仿宋_GB2312" w:eastAsia="仿宋_GB2312"/>
          <w:sz w:val="32"/>
          <w:szCs w:val="32"/>
        </w:rPr>
      </w:pPr>
      <w:r>
        <w:rPr>
          <w:rFonts w:hint="eastAsia" w:ascii="仿宋_GB2312" w:eastAsia="仿宋_GB2312"/>
          <w:sz w:val="32"/>
          <w:szCs w:val="32"/>
        </w:rPr>
        <w:t>2101102事业单位医疗12.63万元；</w:t>
      </w:r>
    </w:p>
    <w:p>
      <w:pPr>
        <w:ind w:firstLine="640" w:firstLineChars="200"/>
        <w:rPr>
          <w:rFonts w:ascii="仿宋_GB2312" w:eastAsia="仿宋_GB2312"/>
          <w:sz w:val="32"/>
          <w:szCs w:val="32"/>
        </w:rPr>
      </w:pPr>
      <w:r>
        <w:rPr>
          <w:rFonts w:hint="eastAsia" w:ascii="仿宋_GB2312" w:eastAsia="仿宋_GB2312"/>
          <w:sz w:val="32"/>
          <w:szCs w:val="32"/>
        </w:rPr>
        <w:t>2101103公务员医疗补助9.82万元；</w:t>
      </w:r>
    </w:p>
    <w:p>
      <w:pPr>
        <w:ind w:firstLine="640" w:firstLineChars="200"/>
        <w:rPr>
          <w:rFonts w:ascii="仿宋_GB2312" w:eastAsia="仿宋_GB2312"/>
          <w:sz w:val="32"/>
          <w:szCs w:val="32"/>
        </w:rPr>
      </w:pPr>
      <w:r>
        <w:rPr>
          <w:rFonts w:hint="eastAsia" w:ascii="仿宋_GB2312" w:eastAsia="仿宋_GB2312"/>
          <w:sz w:val="32"/>
          <w:szCs w:val="32"/>
        </w:rPr>
        <w:t>2101601老龄卫生健康事务691.47万元；</w:t>
      </w:r>
    </w:p>
    <w:p>
      <w:pPr>
        <w:ind w:firstLine="640" w:firstLineChars="200"/>
        <w:rPr>
          <w:rFonts w:ascii="仿宋_GB2312" w:eastAsia="仿宋_GB2312"/>
          <w:sz w:val="32"/>
          <w:szCs w:val="32"/>
        </w:rPr>
      </w:pPr>
      <w:r>
        <w:rPr>
          <w:rFonts w:hint="eastAsia" w:ascii="仿宋_GB2312" w:eastAsia="仿宋_GB2312"/>
          <w:sz w:val="32"/>
          <w:szCs w:val="32"/>
        </w:rPr>
        <w:t>2210201住房公积金18.72万元。</w:t>
      </w:r>
    </w:p>
    <w:p>
      <w:pPr>
        <w:ind w:firstLine="640" w:firstLineChars="200"/>
        <w:outlineLvl w:val="1"/>
        <w:rPr>
          <w:rFonts w:ascii="黑体" w:hAnsi="黑体" w:eastAsia="黑体" w:cs="宋体"/>
          <w:bCs/>
          <w:kern w:val="0"/>
          <w:sz w:val="32"/>
          <w:szCs w:val="32"/>
        </w:rPr>
      </w:pPr>
      <w:bookmarkStart w:id="18" w:name="_Toc30870"/>
      <w:bookmarkStart w:id="19" w:name="_Toc11146"/>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hint="eastAsia" w:ascii="仿宋_GB2312" w:eastAsia="仿宋_GB2312"/>
          <w:sz w:val="32"/>
          <w:szCs w:val="32"/>
        </w:rPr>
        <w:t>2020年度一般公共预算财政拨款基本支出338.27万元，其中：</w:t>
      </w:r>
    </w:p>
    <w:p>
      <w:pPr>
        <w:ind w:firstLine="640" w:firstLineChars="200"/>
        <w:rPr>
          <w:rFonts w:ascii="仿宋_GB2312" w:eastAsia="仿宋_GB2312"/>
          <w:sz w:val="32"/>
          <w:szCs w:val="32"/>
        </w:rPr>
      </w:pPr>
      <w:r>
        <w:rPr>
          <w:rFonts w:hint="eastAsia" w:ascii="仿宋_GB2312" w:eastAsia="仿宋_GB2312"/>
          <w:sz w:val="32"/>
          <w:szCs w:val="32"/>
        </w:rPr>
        <w:t>人员经费276.02万元，包括：基本工资、津贴补贴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绩效工资、机关事业单位基本养老保险缴费、职工基本医疗保险缴费、公务员医疗补助缴费、其他社会保障缴费、住房公积金、其他工资福利支出、</w:t>
      </w:r>
      <w:r>
        <w:rPr>
          <w:rFonts w:hint="eastAsia" w:ascii="仿宋_GB2312" w:eastAsia="仿宋_GB2312"/>
          <w:sz w:val="32"/>
          <w:szCs w:val="32"/>
          <w:lang w:val="en-US" w:eastAsia="zh-CN"/>
        </w:rPr>
        <w:t>退休费、</w:t>
      </w:r>
      <w:r>
        <w:rPr>
          <w:rFonts w:hint="eastAsia" w:ascii="仿宋_GB2312" w:eastAsia="仿宋_GB2312"/>
          <w:sz w:val="32"/>
          <w:szCs w:val="32"/>
        </w:rPr>
        <w:t>医疗费补助。</w:t>
      </w:r>
    </w:p>
    <w:p>
      <w:pPr>
        <w:ind w:firstLine="640" w:firstLineChars="200"/>
        <w:rPr>
          <w:rFonts w:ascii="仿宋_GB2312" w:eastAsia="仿宋_GB2312"/>
          <w:sz w:val="32"/>
          <w:szCs w:val="32"/>
        </w:rPr>
      </w:pPr>
      <w:r>
        <w:rPr>
          <w:rFonts w:hint="eastAsia" w:ascii="仿宋_GB2312" w:eastAsia="仿宋_GB2312"/>
          <w:sz w:val="32"/>
          <w:szCs w:val="32"/>
        </w:rPr>
        <w:t>公用经费62.21万元，包括：办公费、印刷费、邮电费、取暖费、差旅费、公务接待费、工会经费、福利费、公务用车运行维护费、其他交通费用</w:t>
      </w:r>
      <w:r>
        <w:rPr>
          <w:rFonts w:hint="eastAsia" w:ascii="仿宋_GB2312" w:eastAsia="仿宋_GB2312"/>
          <w:sz w:val="32"/>
          <w:szCs w:val="32"/>
          <w:lang w:eastAsia="zh-CN"/>
        </w:rPr>
        <w:t>、</w:t>
      </w:r>
      <w:r>
        <w:rPr>
          <w:rFonts w:hint="eastAsia" w:ascii="仿宋_GB2312" w:eastAsia="仿宋_GB2312"/>
          <w:sz w:val="32"/>
          <w:szCs w:val="32"/>
        </w:rPr>
        <w:t>其他商品和服务支出。</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hint="eastAsia" w:ascii="仿宋_GB2312" w:eastAsia="仿宋_GB2312"/>
          <w:sz w:val="32"/>
          <w:szCs w:val="32"/>
        </w:rPr>
        <w:t>2020年度一般公共预算“三公”经费支出决算1.40万元，比上年减少1.30万元，</w:t>
      </w:r>
      <w:r>
        <w:rPr>
          <w:rFonts w:hint="eastAsia" w:ascii="仿宋_GB2312" w:eastAsia="仿宋_GB2312"/>
          <w:sz w:val="32"/>
          <w:szCs w:val="32"/>
          <w:lang w:val="en-US" w:eastAsia="zh-CN"/>
        </w:rPr>
        <w:t>降低</w:t>
      </w:r>
      <w:r>
        <w:rPr>
          <w:rFonts w:hint="eastAsia" w:ascii="仿宋_GB2312" w:eastAsia="仿宋_GB2312"/>
          <w:sz w:val="32"/>
          <w:szCs w:val="32"/>
        </w:rPr>
        <w:t>48.15%，主要原因是今年公务车辆已报废，维修费用减少。其中，因公出国（境）费支出0万元，占0%，比上年增加0万元，增长0%，主要原因是无预算安排；公务用车购置及运行维护费支出1.20万元，占85.71%，比上年</w:t>
      </w:r>
      <w:r>
        <w:rPr>
          <w:rFonts w:hint="eastAsia" w:ascii="仿宋_GB2312" w:eastAsia="仿宋_GB2312"/>
          <w:sz w:val="32"/>
          <w:szCs w:val="32"/>
          <w:lang w:val="en-US" w:eastAsia="zh-CN"/>
        </w:rPr>
        <w:t>减少</w:t>
      </w:r>
      <w:r>
        <w:rPr>
          <w:rFonts w:hint="eastAsia" w:ascii="仿宋_GB2312" w:eastAsia="仿宋_GB2312"/>
          <w:sz w:val="32"/>
          <w:szCs w:val="32"/>
        </w:rPr>
        <w:t>0.80万元，降</w:t>
      </w:r>
      <w:r>
        <w:rPr>
          <w:rFonts w:hint="eastAsia" w:ascii="仿宋_GB2312" w:eastAsia="仿宋_GB2312"/>
          <w:sz w:val="32"/>
          <w:szCs w:val="32"/>
          <w:lang w:val="en-US" w:eastAsia="zh-CN"/>
        </w:rPr>
        <w:t>低</w:t>
      </w:r>
      <w:r>
        <w:rPr>
          <w:rFonts w:hint="eastAsia" w:ascii="仿宋_GB2312" w:eastAsia="仿宋_GB2312"/>
          <w:sz w:val="32"/>
          <w:szCs w:val="32"/>
        </w:rPr>
        <w:t>44.44%，主要原因是严格控制；公务接待费支出0.20万元，占14.29%，比上年</w:t>
      </w:r>
      <w:r>
        <w:rPr>
          <w:rFonts w:hint="eastAsia" w:ascii="仿宋_GB2312" w:eastAsia="仿宋_GB2312"/>
          <w:sz w:val="32"/>
          <w:szCs w:val="32"/>
          <w:lang w:val="en-US" w:eastAsia="zh-CN"/>
        </w:rPr>
        <w:t>减少</w:t>
      </w:r>
      <w:r>
        <w:rPr>
          <w:rFonts w:hint="eastAsia" w:ascii="仿宋_GB2312" w:eastAsia="仿宋_GB2312"/>
          <w:sz w:val="32"/>
          <w:szCs w:val="32"/>
        </w:rPr>
        <w:t>0.70万元，降低77.78%，主要原因是严格控制。具体情况如下：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因公出国（境）费支出0万元，开支内容包括：无支出。单位全年安排的因公出国（境）团组0个，因公出国（境）0人次。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公务用车购置及运行维护费1.20万元，其中，公务用车购置费0万元，公务用车运行维护费1.20万元。公务用车运行维护费开支内容包括车辆维修、保养、燃油费。公务用车购置数0辆，公务用车保有量1辆。</w:t>
      </w:r>
    </w:p>
    <w:p>
      <w:pPr>
        <w:ind w:firstLine="640" w:firstLineChars="200"/>
        <w:rPr>
          <w:rFonts w:ascii="仿宋_GB2312" w:eastAsia="仿宋_GB2312"/>
          <w:sz w:val="32"/>
          <w:szCs w:val="32"/>
        </w:rPr>
      </w:pPr>
      <w:r>
        <w:rPr>
          <w:rFonts w:hint="eastAsia" w:ascii="仿宋_GB2312" w:eastAsia="仿宋_GB2312"/>
          <w:sz w:val="32"/>
          <w:szCs w:val="32"/>
        </w:rPr>
        <w:t>公务接待费0.20万元，开支内容包括省市老年大学、全疆各地州老年大学协会来我校参观交流。单位全年安排的国内公务接待2批次，6人次。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与年初预算数相比情况：一般公共预算“三公”经费支出年初预算数1.40万元，决算数1.40万元，预决算差异率0%，主要原因是：为控制三公经费的支出。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预算数0万元，决算数0万元，预决算差异率0%，主要原因是：无预算安排；</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费预算数0万元，决算数0万元，预决算差异率0%，主要原因是：无预算安排；</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预算数1.20万元，决算数1.20万元，预决算差异率0%，主要原因是：车辆运行情况较差，控制维修费用；</w:t>
      </w:r>
      <w:r>
        <w:rPr>
          <w:rFonts w:hint="eastAsia" w:ascii="仿宋_GB2312" w:hAnsi="宋体" w:eastAsia="仿宋_GB2312" w:cs="宋体"/>
          <w:kern w:val="0"/>
          <w:sz w:val="32"/>
          <w:szCs w:val="32"/>
        </w:rPr>
        <w:t>公务接待费</w:t>
      </w:r>
      <w:r>
        <w:rPr>
          <w:rFonts w:hint="eastAsia" w:ascii="仿宋_GB2312" w:eastAsia="仿宋_GB2312"/>
          <w:sz w:val="32"/>
          <w:szCs w:val="32"/>
        </w:rPr>
        <w:t>预算数0.20万元，决算数0.20万元，预决算差异率0%，主要原因是：严格控制公务接待标准。</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ascii="仿宋_GB2312" w:eastAsia="仿宋_GB2312"/>
          <w:sz w:val="32"/>
          <w:szCs w:val="32"/>
        </w:rPr>
      </w:pPr>
      <w:r>
        <w:rPr>
          <w:rFonts w:hint="eastAsia" w:ascii="仿宋_GB2312" w:eastAsia="仿宋_GB2312"/>
          <w:spacing w:val="0"/>
          <w:sz w:val="32"/>
          <w:szCs w:val="32"/>
          <w:highlight w:val="none"/>
          <w:lang w:val="en-US" w:eastAsia="zh-CN"/>
        </w:rPr>
        <w:t>2020</w:t>
      </w:r>
      <w:r>
        <w:rPr>
          <w:rFonts w:hint="eastAsia" w:ascii="仿宋_GB2312" w:eastAsia="仿宋_GB2312"/>
          <w:spacing w:val="0"/>
          <w:sz w:val="32"/>
          <w:szCs w:val="32"/>
          <w:highlight w:val="none"/>
          <w:lang w:eastAsia="zh-CN"/>
        </w:rPr>
        <w:t>年度</w:t>
      </w:r>
      <w:r>
        <w:rPr>
          <w:rFonts w:hint="eastAsia" w:ascii="仿宋_GB2312" w:eastAsia="仿宋_GB2312"/>
          <w:sz w:val="32"/>
          <w:szCs w:val="32"/>
          <w:highlight w:val="none"/>
        </w:rPr>
        <w:t>政府性基金预算财政拨款收入</w:t>
      </w:r>
      <w:r>
        <w:rPr>
          <w:rFonts w:hint="eastAsia" w:ascii="仿宋_GB2312" w:eastAsia="仿宋_GB2312"/>
          <w:sz w:val="32"/>
          <w:szCs w:val="32"/>
          <w:highlight w:val="none"/>
          <w:lang w:val="en-US" w:eastAsia="zh-CN"/>
        </w:rPr>
        <w:t>30</w:t>
      </w:r>
      <w:r>
        <w:rPr>
          <w:rFonts w:hint="eastAsia" w:ascii="仿宋_GB2312" w:eastAsia="仿宋_GB2312"/>
          <w:sz w:val="32"/>
          <w:szCs w:val="32"/>
          <w:highlight w:val="none"/>
        </w:rPr>
        <w:t>万元，与上年相比，增加</w:t>
      </w:r>
      <w:r>
        <w:rPr>
          <w:rFonts w:hint="eastAsia" w:ascii="仿宋_GB2312" w:eastAsia="仿宋_GB2312"/>
          <w:sz w:val="32"/>
          <w:szCs w:val="32"/>
          <w:highlight w:val="none"/>
          <w:lang w:val="en-US" w:eastAsia="zh-CN"/>
        </w:rPr>
        <w:t>30</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2019年度因机构改革该项目未保留，2020年度重新申请该项目，用于新疆老年大学协会工作业务开展</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政府性基金预算财政拨款支出</w:t>
      </w:r>
      <w:r>
        <w:rPr>
          <w:rFonts w:hint="eastAsia" w:ascii="仿宋_GB2312" w:eastAsia="仿宋_GB2312"/>
          <w:sz w:val="32"/>
          <w:szCs w:val="32"/>
          <w:highlight w:val="none"/>
          <w:lang w:val="en-US" w:eastAsia="zh-CN"/>
        </w:rPr>
        <w:t>30</w:t>
      </w:r>
      <w:r>
        <w:rPr>
          <w:rFonts w:hint="eastAsia" w:ascii="仿宋_GB2312" w:eastAsia="仿宋_GB2312"/>
          <w:sz w:val="32"/>
          <w:szCs w:val="32"/>
          <w:highlight w:val="none"/>
        </w:rPr>
        <w:t>万元。与上年相比，增加</w:t>
      </w:r>
      <w:r>
        <w:rPr>
          <w:rFonts w:hint="eastAsia" w:ascii="仿宋_GB2312" w:eastAsia="仿宋_GB2312"/>
          <w:sz w:val="32"/>
          <w:szCs w:val="32"/>
          <w:highlight w:val="none"/>
          <w:lang w:val="en-US" w:eastAsia="zh-CN"/>
        </w:rPr>
        <w:t>30</w:t>
      </w:r>
      <w:r>
        <w:rPr>
          <w:rFonts w:hint="eastAsia" w:ascii="仿宋_GB2312" w:eastAsia="仿宋_GB2312"/>
          <w:sz w:val="32"/>
          <w:szCs w:val="32"/>
          <w:highlight w:val="none"/>
        </w:rPr>
        <w:t>万元，增长</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，主要原因是</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该项目</w:t>
      </w:r>
      <w:r>
        <w:rPr>
          <w:rFonts w:hint="eastAsia" w:ascii="仿宋_GB2312" w:eastAsia="仿宋_GB2312"/>
          <w:sz w:val="32"/>
          <w:szCs w:val="32"/>
          <w:highlight w:val="none"/>
          <w:lang w:val="en-US" w:eastAsia="zh-CN"/>
        </w:rPr>
        <w:t>用于新疆老年大学协会工作业务的开展，</w:t>
      </w:r>
      <w:r>
        <w:rPr>
          <w:rFonts w:hint="eastAsia" w:ascii="仿宋_GB2312" w:eastAsia="仿宋_GB2312"/>
          <w:sz w:val="32"/>
          <w:szCs w:val="32"/>
          <w:highlight w:val="none"/>
          <w:lang w:eastAsia="zh-CN"/>
        </w:rPr>
        <w:t>保障老年教育工作的进一步发展</w:t>
      </w:r>
      <w:r>
        <w:rPr>
          <w:rFonts w:hint="eastAsia" w:ascii="仿宋_GB2312" w:eastAsia="仿宋_GB2312"/>
          <w:sz w:val="32"/>
          <w:szCs w:val="32"/>
          <w:highlight w:val="none"/>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bookmarkStart w:id="28" w:name="_Toc26704"/>
      <w:bookmarkStart w:id="29" w:name="_Toc227"/>
      <w:r>
        <w:rPr>
          <w:rFonts w:hint="eastAsia" w:ascii="仿宋_GB2312" w:eastAsia="仿宋_GB2312"/>
          <w:sz w:val="32"/>
          <w:szCs w:val="32"/>
        </w:rPr>
        <w:t>新疆维吾尔自治区老年大学单位（事业单位）日常公用经费62.21万元，比上年增加8.76万元，增</w:t>
      </w:r>
      <w:r>
        <w:rPr>
          <w:rFonts w:hint="eastAsia" w:ascii="仿宋_GB2312" w:eastAsia="仿宋_GB2312"/>
          <w:sz w:val="32"/>
          <w:szCs w:val="32"/>
          <w:lang w:val="en-US" w:eastAsia="zh-CN"/>
        </w:rPr>
        <w:t>长</w:t>
      </w:r>
      <w:r>
        <w:rPr>
          <w:rFonts w:hint="eastAsia" w:ascii="仿宋_GB2312" w:eastAsia="仿宋_GB2312"/>
          <w:sz w:val="32"/>
          <w:szCs w:val="32"/>
        </w:rPr>
        <w:t>16.39%，主要原因是2019年新聘15人2020年度增加部分人员经费。</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bookmarkStart w:id="30" w:name="_Toc8391"/>
      <w:bookmarkStart w:id="31" w:name="_Toc4591"/>
      <w:r>
        <w:rPr>
          <w:rFonts w:hint="eastAsia" w:ascii="仿宋_GB2312" w:eastAsia="仿宋_GB2312"/>
          <w:sz w:val="32"/>
          <w:szCs w:val="32"/>
        </w:rPr>
        <w:t>2020年度政府采购支出总额5.00万元，其中：政府采购货物支出5.00万元、政府采购工程支出0万元、政府采购服务支出0万元。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授予中小企业合同金额5.00万元，占政府采购支出总额的100%，其中：授予小微企业合同金额5.00万元，占政府采购支出总额的100%。</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bookmarkEnd w:id="30"/>
      <w:bookmarkEnd w:id="31"/>
    </w:p>
    <w:p>
      <w:pPr>
        <w:ind w:firstLine="640" w:firstLineChars="200"/>
        <w:outlineLvl w:val="1"/>
        <w:rPr>
          <w:rFonts w:ascii="仿宋_GB2312" w:eastAsia="仿宋_GB2312"/>
          <w:sz w:val="32"/>
          <w:szCs w:val="32"/>
        </w:rPr>
      </w:pPr>
      <w:bookmarkStart w:id="32" w:name="_Toc435"/>
      <w:bookmarkStart w:id="33" w:name="_Toc11283"/>
      <w:r>
        <w:rPr>
          <w:rFonts w:hint="eastAsia" w:ascii="仿宋_GB2312" w:eastAsia="仿宋_GB2312"/>
          <w:sz w:val="32"/>
          <w:szCs w:val="32"/>
        </w:rPr>
        <w:t>截止2020年12月31日，单位共有房屋0（平方米），价值0万元。车辆0辆，价值0万元，其中：副部（省）级及以上领导用车0辆、主要领导干部用车0辆、机要通信用车0辆、应急保障用车0辆、执法执勤用车0辆、特种专业技术用车0辆、离退休干部用车0辆、其他用车2辆，其他用车主要是：公务用车；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十一、预算绩效的情况说明</w:t>
      </w:r>
      <w:bookmarkEnd w:id="32"/>
      <w:bookmarkEnd w:id="33"/>
    </w:p>
    <w:p>
      <w:pPr>
        <w:ind w:firstLine="640" w:firstLineChars="200"/>
        <w:rPr>
          <w:rFonts w:ascii="仿宋_GB2312" w:eastAsia="仿宋_GB2312"/>
          <w:sz w:val="32"/>
          <w:szCs w:val="32"/>
        </w:rPr>
      </w:pPr>
      <w:bookmarkStart w:id="34" w:name="_Toc3250"/>
      <w:bookmarkStart w:id="35" w:name="_Toc24143"/>
      <w:r>
        <w:rPr>
          <w:rFonts w:hint="eastAsia" w:ascii="仿宋_GB2312" w:eastAsia="仿宋_GB2312"/>
          <w:sz w:val="32"/>
          <w:szCs w:val="32"/>
        </w:rPr>
        <w:t>根据预算绩效管理要求，我单位2020年度开展预算绩效评价项目</w:t>
      </w:r>
      <w:r>
        <w:rPr>
          <w:rFonts w:ascii="仿宋_GB2312" w:eastAsia="仿宋_GB2312"/>
          <w:sz w:val="32"/>
          <w:szCs w:val="32"/>
        </w:rPr>
        <w:t>3</w:t>
      </w:r>
      <w:r>
        <w:rPr>
          <w:rFonts w:hint="eastAsia" w:ascii="仿宋_GB2312" w:eastAsia="仿宋_GB2312"/>
          <w:sz w:val="32"/>
          <w:szCs w:val="32"/>
        </w:rPr>
        <w:t>个，共涉及资金</w:t>
      </w:r>
      <w:r>
        <w:rPr>
          <w:rFonts w:ascii="仿宋_GB2312" w:eastAsia="仿宋_GB2312"/>
          <w:sz w:val="32"/>
          <w:szCs w:val="32"/>
        </w:rPr>
        <w:t>143</w:t>
      </w:r>
      <w:r>
        <w:rPr>
          <w:rFonts w:hint="eastAsia" w:ascii="仿宋_GB2312" w:eastAsia="仿宋_GB2312"/>
          <w:sz w:val="32"/>
          <w:szCs w:val="32"/>
        </w:rPr>
        <w:t>.00万元。预算绩效管理取得的成效：一是推进项目资金正常开展；二是保障项目目标如期完成，三是加强项目资金落实成效。发现的问题及原因：一是</w:t>
      </w:r>
      <w:r>
        <w:rPr>
          <w:rFonts w:hint="eastAsia" w:ascii="仿宋_GB2312" w:eastAsia="仿宋_GB2312"/>
          <w:spacing w:val="-4"/>
          <w:sz w:val="32"/>
          <w:szCs w:val="32"/>
        </w:rPr>
        <w:t>绩效自评工作开展不久，相关实践经验还欠缺，相关制度有待于进一步完善</w:t>
      </w:r>
      <w:r>
        <w:rPr>
          <w:rFonts w:hint="eastAsia" w:ascii="仿宋_GB2312" w:eastAsia="仿宋_GB2312"/>
          <w:sz w:val="32"/>
          <w:szCs w:val="32"/>
        </w:rPr>
        <w:t>；二是</w:t>
      </w:r>
      <w:r>
        <w:rPr>
          <w:rFonts w:hint="eastAsia" w:ascii="仿宋_GB2312" w:eastAsia="仿宋_GB2312"/>
          <w:spacing w:val="-4"/>
          <w:sz w:val="32"/>
          <w:szCs w:val="32"/>
        </w:rPr>
        <w:t>绩效目标相关指标与我校项目经费相关业务稍有偏差，无法百分百落实计划</w:t>
      </w:r>
      <w:r>
        <w:rPr>
          <w:rFonts w:hint="eastAsia" w:ascii="仿宋_GB2312" w:eastAsia="仿宋_GB2312"/>
          <w:sz w:val="32"/>
          <w:szCs w:val="32"/>
        </w:rPr>
        <w:t>。下一步改进措施：一是加强专业学习，提高专业水平；二是</w:t>
      </w:r>
      <w:r>
        <w:rPr>
          <w:rFonts w:hint="eastAsia" w:ascii="仿宋_GB2312" w:eastAsia="仿宋_GB2312"/>
          <w:spacing w:val="-4"/>
          <w:sz w:val="32"/>
          <w:szCs w:val="32"/>
        </w:rPr>
        <w:t>在对绩效设置予以完善和调整，尽可能做到科学合理</w:t>
      </w:r>
      <w:r>
        <w:rPr>
          <w:rFonts w:hint="eastAsia" w:ascii="仿宋_GB2312" w:eastAsia="仿宋_GB2312"/>
          <w:sz w:val="32"/>
          <w:szCs w:val="32"/>
        </w:rPr>
        <w:t>。具体项目自评情况附项目支出绩效自评表。</w:t>
      </w:r>
    </w:p>
    <w:tbl>
      <w:tblPr>
        <w:tblStyle w:val="8"/>
        <w:tblW w:w="9109" w:type="dxa"/>
        <w:tblInd w:w="0" w:type="dxa"/>
        <w:tblLayout w:type="fixed"/>
        <w:tblCellMar>
          <w:top w:w="15" w:type="dxa"/>
          <w:left w:w="15" w:type="dxa"/>
          <w:bottom w:w="15" w:type="dxa"/>
          <w:right w:w="15" w:type="dxa"/>
        </w:tblCellMar>
      </w:tblPr>
      <w:tblGrid>
        <w:gridCol w:w="590"/>
        <w:gridCol w:w="337"/>
        <w:gridCol w:w="45"/>
        <w:gridCol w:w="20"/>
        <w:gridCol w:w="956"/>
        <w:gridCol w:w="1563"/>
        <w:gridCol w:w="1483"/>
        <w:gridCol w:w="1265"/>
        <w:gridCol w:w="1185"/>
        <w:gridCol w:w="270"/>
        <w:gridCol w:w="344"/>
        <w:gridCol w:w="258"/>
        <w:gridCol w:w="258"/>
        <w:gridCol w:w="277"/>
        <w:gridCol w:w="258"/>
      </w:tblGrid>
      <w:tr>
        <w:tblPrEx>
          <w:tblCellMar>
            <w:top w:w="15" w:type="dxa"/>
            <w:left w:w="15" w:type="dxa"/>
            <w:bottom w:w="15" w:type="dxa"/>
            <w:right w:w="15" w:type="dxa"/>
          </w:tblCellMar>
        </w:tblPrEx>
        <w:trPr>
          <w:trHeight w:val="396" w:hRule="atLeast"/>
        </w:trPr>
        <w:tc>
          <w:tcPr>
            <w:tcW w:w="9109" w:type="dxa"/>
            <w:gridSpan w:val="15"/>
            <w:shd w:val="clear" w:color="auto" w:fill="auto"/>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rPr>
              <w:t>自治区财政项目支出绩效自评表</w:t>
            </w:r>
          </w:p>
        </w:tc>
      </w:tr>
      <w:tr>
        <w:tblPrEx>
          <w:tblCellMar>
            <w:top w:w="15" w:type="dxa"/>
            <w:left w:w="15" w:type="dxa"/>
            <w:bottom w:w="15" w:type="dxa"/>
            <w:right w:w="15" w:type="dxa"/>
          </w:tblCellMar>
        </w:tblPrEx>
        <w:trPr>
          <w:trHeight w:val="313" w:hRule="atLeast"/>
        </w:trPr>
        <w:tc>
          <w:tcPr>
            <w:tcW w:w="9109" w:type="dxa"/>
            <w:gridSpan w:val="15"/>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(2020年度)</w:t>
            </w:r>
          </w:p>
        </w:tc>
      </w:tr>
      <w:tr>
        <w:tblPrEx>
          <w:tblCellMar>
            <w:top w:w="15" w:type="dxa"/>
            <w:left w:w="15" w:type="dxa"/>
            <w:bottom w:w="15" w:type="dxa"/>
            <w:right w:w="15" w:type="dxa"/>
          </w:tblCellMar>
        </w:tblPrEx>
        <w:trPr>
          <w:trHeight w:val="360" w:hRule="atLeast"/>
        </w:trPr>
        <w:tc>
          <w:tcPr>
            <w:tcW w:w="590" w:type="dxa"/>
            <w:shd w:val="clear" w:color="auto" w:fill="auto"/>
            <w:vAlign w:val="center"/>
          </w:tcPr>
          <w:p>
            <w:pPr>
              <w:rPr>
                <w:rFonts w:ascii="Calibri" w:hAnsi="Calibri" w:eastAsia="等线" w:cs="Calibri"/>
                <w:color w:val="000000"/>
                <w:sz w:val="22"/>
                <w:szCs w:val="22"/>
              </w:rPr>
            </w:pPr>
          </w:p>
        </w:tc>
        <w:tc>
          <w:tcPr>
            <w:tcW w:w="402" w:type="dxa"/>
            <w:gridSpan w:val="3"/>
            <w:shd w:val="clear" w:color="auto" w:fill="auto"/>
            <w:vAlign w:val="center"/>
          </w:tcPr>
          <w:p>
            <w:pPr>
              <w:rPr>
                <w:rFonts w:ascii="Calibri" w:hAnsi="Calibri" w:eastAsia="等线" w:cs="Calibri"/>
                <w:color w:val="000000"/>
                <w:sz w:val="22"/>
                <w:szCs w:val="22"/>
              </w:rPr>
            </w:pPr>
          </w:p>
        </w:tc>
        <w:tc>
          <w:tcPr>
            <w:tcW w:w="956" w:type="dxa"/>
            <w:shd w:val="clear" w:color="auto" w:fill="auto"/>
            <w:vAlign w:val="center"/>
          </w:tcPr>
          <w:p>
            <w:pPr>
              <w:rPr>
                <w:rFonts w:ascii="Calibri" w:hAnsi="Calibri" w:eastAsia="等线" w:cs="Calibri"/>
                <w:color w:val="000000"/>
                <w:sz w:val="22"/>
                <w:szCs w:val="22"/>
              </w:rPr>
            </w:pPr>
          </w:p>
        </w:tc>
        <w:tc>
          <w:tcPr>
            <w:tcW w:w="1563" w:type="dxa"/>
            <w:shd w:val="clear" w:color="auto" w:fill="auto"/>
            <w:vAlign w:val="center"/>
          </w:tcPr>
          <w:p>
            <w:pPr>
              <w:rPr>
                <w:rFonts w:ascii="Calibri" w:hAnsi="Calibri" w:eastAsia="等线" w:cs="Calibri"/>
                <w:color w:val="000000"/>
                <w:sz w:val="22"/>
                <w:szCs w:val="22"/>
              </w:rPr>
            </w:pPr>
          </w:p>
        </w:tc>
        <w:tc>
          <w:tcPr>
            <w:tcW w:w="1483" w:type="dxa"/>
            <w:shd w:val="clear" w:color="auto" w:fill="auto"/>
            <w:vAlign w:val="center"/>
          </w:tcPr>
          <w:p>
            <w:pPr>
              <w:rPr>
                <w:rFonts w:ascii="Calibri" w:hAnsi="Calibri" w:eastAsia="等线" w:cs="Calibri"/>
                <w:color w:val="000000"/>
                <w:sz w:val="22"/>
                <w:szCs w:val="22"/>
              </w:rPr>
            </w:pPr>
          </w:p>
        </w:tc>
        <w:tc>
          <w:tcPr>
            <w:tcW w:w="1265" w:type="dxa"/>
            <w:shd w:val="clear" w:color="auto" w:fill="auto"/>
            <w:vAlign w:val="center"/>
          </w:tcPr>
          <w:p>
            <w:pPr>
              <w:rPr>
                <w:rFonts w:ascii="Calibri" w:hAnsi="Calibri" w:eastAsia="等线" w:cs="Calibri"/>
                <w:color w:val="000000"/>
                <w:sz w:val="22"/>
                <w:szCs w:val="22"/>
              </w:rPr>
            </w:pPr>
          </w:p>
        </w:tc>
        <w:tc>
          <w:tcPr>
            <w:tcW w:w="1185" w:type="dxa"/>
            <w:shd w:val="clear" w:color="auto" w:fill="auto"/>
            <w:vAlign w:val="center"/>
          </w:tcPr>
          <w:p>
            <w:pPr>
              <w:rPr>
                <w:rFonts w:ascii="Calibri" w:hAnsi="Calibri" w:eastAsia="等线" w:cs="Calibri"/>
                <w:color w:val="000000"/>
                <w:sz w:val="22"/>
                <w:szCs w:val="22"/>
              </w:rPr>
            </w:pPr>
          </w:p>
        </w:tc>
        <w:tc>
          <w:tcPr>
            <w:tcW w:w="872" w:type="dxa"/>
            <w:gridSpan w:val="3"/>
            <w:shd w:val="clear" w:color="auto" w:fill="auto"/>
            <w:vAlign w:val="bottom"/>
          </w:tcPr>
          <w:p>
            <w:pPr>
              <w:rPr>
                <w:rFonts w:ascii="等线" w:hAnsi="等线" w:eastAsia="等线" w:cs="等线"/>
                <w:color w:val="000000"/>
                <w:sz w:val="22"/>
                <w:szCs w:val="22"/>
              </w:rPr>
            </w:pPr>
          </w:p>
        </w:tc>
        <w:tc>
          <w:tcPr>
            <w:tcW w:w="793" w:type="dxa"/>
            <w:gridSpan w:val="3"/>
            <w:shd w:val="clear" w:color="auto" w:fill="auto"/>
            <w:vAlign w:val="bottom"/>
          </w:tcPr>
          <w:p>
            <w:pPr>
              <w:rPr>
                <w:rFonts w:ascii="等线" w:hAnsi="等线" w:eastAsia="等线" w:cs="等线"/>
                <w:color w:val="000000"/>
                <w:sz w:val="22"/>
                <w:szCs w:val="22"/>
              </w:rPr>
            </w:pPr>
          </w:p>
        </w:tc>
      </w:tr>
      <w:tr>
        <w:tblPrEx>
          <w:tblCellMar>
            <w:top w:w="15" w:type="dxa"/>
            <w:left w:w="15" w:type="dxa"/>
            <w:bottom w:w="15" w:type="dxa"/>
            <w:right w:w="15" w:type="dxa"/>
          </w:tblCellMar>
        </w:tblPrEx>
        <w:trPr>
          <w:trHeight w:val="432" w:hRule="atLeast"/>
        </w:trPr>
        <w:tc>
          <w:tcPr>
            <w:tcW w:w="194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项目名称</w:t>
            </w:r>
          </w:p>
        </w:tc>
        <w:tc>
          <w:tcPr>
            <w:tcW w:w="716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办学业务经费</w:t>
            </w:r>
          </w:p>
        </w:tc>
      </w:tr>
      <w:tr>
        <w:tblPrEx>
          <w:tblCellMar>
            <w:top w:w="15" w:type="dxa"/>
            <w:left w:w="15" w:type="dxa"/>
            <w:bottom w:w="15" w:type="dxa"/>
            <w:right w:w="15" w:type="dxa"/>
          </w:tblCellMar>
        </w:tblPrEx>
        <w:trPr>
          <w:trHeight w:val="625" w:hRule="atLeast"/>
        </w:trPr>
        <w:tc>
          <w:tcPr>
            <w:tcW w:w="194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预算单位</w:t>
            </w:r>
          </w:p>
        </w:tc>
        <w:tc>
          <w:tcPr>
            <w:tcW w:w="716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新疆维吾尔自治区老年大学</w:t>
            </w:r>
          </w:p>
        </w:tc>
      </w:tr>
      <w:tr>
        <w:tblPrEx>
          <w:tblCellMar>
            <w:top w:w="15" w:type="dxa"/>
            <w:left w:w="15" w:type="dxa"/>
            <w:bottom w:w="15" w:type="dxa"/>
            <w:right w:w="15" w:type="dxa"/>
          </w:tblCellMar>
        </w:tblPrEx>
        <w:trPr>
          <w:trHeight w:val="912" w:hRule="atLeast"/>
        </w:trPr>
        <w:tc>
          <w:tcPr>
            <w:tcW w:w="5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预算执行情况（万元）</w:t>
            </w:r>
          </w:p>
        </w:tc>
        <w:tc>
          <w:tcPr>
            <w:tcW w:w="13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年初预算数</w:t>
            </w:r>
          </w:p>
        </w:tc>
        <w:tc>
          <w:tcPr>
            <w:tcW w:w="24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全年预算数</w:t>
            </w:r>
          </w:p>
        </w:tc>
        <w:tc>
          <w:tcPr>
            <w:tcW w:w="1665" w:type="dxa"/>
            <w:gridSpan w:val="6"/>
            <w:tcBorders>
              <w:top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全年执行数</w:t>
            </w:r>
          </w:p>
        </w:tc>
      </w:tr>
      <w:tr>
        <w:tblPrEx>
          <w:tblCellMar>
            <w:top w:w="15" w:type="dxa"/>
            <w:left w:w="15" w:type="dxa"/>
            <w:bottom w:w="15" w:type="dxa"/>
            <w:right w:w="15" w:type="dxa"/>
          </w:tblCellMar>
        </w:tblPrEx>
        <w:trPr>
          <w:trHeight w:val="540"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135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304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kern w:val="0"/>
                <w:sz w:val="24"/>
                <w:lang w:val="en-US" w:eastAsia="zh-CN"/>
              </w:rPr>
              <w:t>40</w:t>
            </w:r>
          </w:p>
        </w:tc>
        <w:tc>
          <w:tcPr>
            <w:tcW w:w="24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val="en-US" w:eastAsia="zh-CN"/>
              </w:rPr>
              <w:t>40</w:t>
            </w:r>
          </w:p>
        </w:tc>
        <w:tc>
          <w:tcPr>
            <w:tcW w:w="1665" w:type="dxa"/>
            <w:gridSpan w:val="6"/>
            <w:vMerge w:val="restart"/>
            <w:tcBorders>
              <w:top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40</w:t>
            </w:r>
          </w:p>
        </w:tc>
      </w:tr>
      <w:tr>
        <w:tblPrEx>
          <w:tblCellMar>
            <w:top w:w="15" w:type="dxa"/>
            <w:left w:w="15" w:type="dxa"/>
            <w:bottom w:w="15" w:type="dxa"/>
            <w:right w:w="15" w:type="dxa"/>
          </w:tblCellMar>
        </w:tblPrEx>
        <w:trPr>
          <w:trHeight w:val="495"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135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color w:val="000000"/>
                <w:sz w:val="24"/>
              </w:rPr>
            </w:pPr>
          </w:p>
        </w:tc>
        <w:tc>
          <w:tcPr>
            <w:tcW w:w="30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24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1665" w:type="dxa"/>
            <w:gridSpan w:val="6"/>
            <w:vMerge w:val="continue"/>
            <w:tcBorders>
              <w:top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r>
      <w:tr>
        <w:tblPrEx>
          <w:tblCellMar>
            <w:top w:w="15" w:type="dxa"/>
            <w:left w:w="15" w:type="dxa"/>
            <w:bottom w:w="15" w:type="dxa"/>
            <w:right w:w="15" w:type="dxa"/>
          </w:tblCellMar>
        </w:tblPrEx>
        <w:trPr>
          <w:trHeight w:val="697"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13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rPr>
              <w:t>其中：当年财政拨款</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val="en-US" w:eastAsia="zh-CN"/>
              </w:rPr>
              <w:t>40</w:t>
            </w:r>
          </w:p>
        </w:tc>
        <w:tc>
          <w:tcPr>
            <w:tcW w:w="24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val="en-US" w:eastAsia="zh-CN"/>
              </w:rPr>
              <w:t>40</w:t>
            </w:r>
          </w:p>
        </w:tc>
        <w:tc>
          <w:tcPr>
            <w:tcW w:w="16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40</w:t>
            </w:r>
          </w:p>
        </w:tc>
      </w:tr>
      <w:tr>
        <w:tblPrEx>
          <w:tblCellMar>
            <w:top w:w="15" w:type="dxa"/>
            <w:left w:w="15" w:type="dxa"/>
            <w:bottom w:w="15" w:type="dxa"/>
            <w:right w:w="15" w:type="dxa"/>
          </w:tblCellMar>
        </w:tblPrEx>
        <w:trPr>
          <w:trHeight w:val="432"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13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rPr>
              <w:t>上年结转资金</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0</w:t>
            </w:r>
          </w:p>
        </w:tc>
        <w:tc>
          <w:tcPr>
            <w:tcW w:w="24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0</w:t>
            </w:r>
          </w:p>
        </w:tc>
        <w:tc>
          <w:tcPr>
            <w:tcW w:w="16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0</w:t>
            </w:r>
          </w:p>
        </w:tc>
      </w:tr>
      <w:tr>
        <w:tblPrEx>
          <w:tblCellMar>
            <w:top w:w="15" w:type="dxa"/>
            <w:left w:w="15" w:type="dxa"/>
            <w:bottom w:w="15" w:type="dxa"/>
            <w:right w:w="15" w:type="dxa"/>
          </w:tblCellMar>
        </w:tblPrEx>
        <w:trPr>
          <w:trHeight w:val="432"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13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rPr>
              <w:t>其他资金</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0</w:t>
            </w:r>
          </w:p>
        </w:tc>
        <w:tc>
          <w:tcPr>
            <w:tcW w:w="24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0</w:t>
            </w:r>
          </w:p>
        </w:tc>
        <w:tc>
          <w:tcPr>
            <w:tcW w:w="16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0</w:t>
            </w:r>
          </w:p>
        </w:tc>
      </w:tr>
      <w:tr>
        <w:tblPrEx>
          <w:tblCellMar>
            <w:top w:w="15" w:type="dxa"/>
            <w:left w:w="15" w:type="dxa"/>
            <w:bottom w:w="15" w:type="dxa"/>
            <w:right w:w="15" w:type="dxa"/>
          </w:tblCellMar>
        </w:tblPrEx>
        <w:trPr>
          <w:trHeight w:val="432" w:hRule="atLeast"/>
        </w:trPr>
        <w:tc>
          <w:tcPr>
            <w:tcW w:w="5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年度目标完成情况</w:t>
            </w:r>
          </w:p>
        </w:tc>
        <w:tc>
          <w:tcPr>
            <w:tcW w:w="440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预期目标</w:t>
            </w:r>
          </w:p>
        </w:tc>
        <w:tc>
          <w:tcPr>
            <w:tcW w:w="411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实际完成目标</w:t>
            </w:r>
          </w:p>
        </w:tc>
      </w:tr>
      <w:tr>
        <w:tblPrEx>
          <w:tblCellMar>
            <w:top w:w="15" w:type="dxa"/>
            <w:left w:w="15" w:type="dxa"/>
            <w:bottom w:w="15" w:type="dxa"/>
            <w:right w:w="15" w:type="dxa"/>
          </w:tblCellMar>
        </w:tblPrEx>
        <w:trPr>
          <w:trHeight w:val="540"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4404"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继续贯彻“老有所学，老有所教”的精神，让每一个参加老年大学学习的老年同志能够有一个好的学习环境，对继续推动老年教育事业的发展具有重要意义。</w:t>
            </w:r>
          </w:p>
        </w:tc>
        <w:tc>
          <w:tcPr>
            <w:tcW w:w="4115" w:type="dxa"/>
            <w:gridSpan w:val="8"/>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根据教学进度正常完成经费开支100%</w:t>
            </w:r>
          </w:p>
        </w:tc>
      </w:tr>
      <w:tr>
        <w:tblPrEx>
          <w:tblCellMar>
            <w:top w:w="15" w:type="dxa"/>
            <w:left w:w="15" w:type="dxa"/>
            <w:bottom w:w="15" w:type="dxa"/>
            <w:right w:w="15" w:type="dxa"/>
          </w:tblCellMar>
        </w:tblPrEx>
        <w:trPr>
          <w:trHeight w:val="540"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4404"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4115"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r>
      <w:tr>
        <w:tblPrEx>
          <w:tblCellMar>
            <w:top w:w="15" w:type="dxa"/>
            <w:left w:w="15" w:type="dxa"/>
            <w:bottom w:w="15" w:type="dxa"/>
            <w:right w:w="15" w:type="dxa"/>
          </w:tblCellMar>
        </w:tblPrEx>
        <w:trPr>
          <w:trHeight w:val="540"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4404"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4115"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r>
      <w:tr>
        <w:tblPrEx>
          <w:tblCellMar>
            <w:top w:w="15" w:type="dxa"/>
            <w:left w:w="15" w:type="dxa"/>
            <w:bottom w:w="15" w:type="dxa"/>
            <w:right w:w="15" w:type="dxa"/>
          </w:tblCellMar>
        </w:tblPrEx>
        <w:trPr>
          <w:trHeight w:val="877" w:hRule="atLeast"/>
        </w:trPr>
        <w:tc>
          <w:tcPr>
            <w:tcW w:w="590" w:type="dxa"/>
            <w:tcBorders>
              <w:top w:val="single" w:color="000000" w:sz="4" w:space="0"/>
              <w:left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402" w:type="dxa"/>
            <w:gridSpan w:val="3"/>
            <w:tcBorders>
              <w:top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一级指标</w:t>
            </w:r>
          </w:p>
        </w:tc>
        <w:tc>
          <w:tcPr>
            <w:tcW w:w="956"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3046" w:type="dxa"/>
            <w:gridSpan w:val="2"/>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2450" w:type="dxa"/>
            <w:gridSpan w:val="2"/>
            <w:tcBorders>
              <w:top w:val="single" w:color="000000" w:sz="4" w:space="0"/>
              <w:lef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预期指标值（包含数字及文字描述）</w:t>
            </w:r>
          </w:p>
        </w:tc>
        <w:tc>
          <w:tcPr>
            <w:tcW w:w="1665" w:type="dxa"/>
            <w:gridSpan w:val="6"/>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实际完成指标值（包含数字及文字描述）</w:t>
            </w:r>
          </w:p>
        </w:tc>
      </w:tr>
      <w:tr>
        <w:tblPrEx>
          <w:tblCellMar>
            <w:top w:w="15" w:type="dxa"/>
            <w:left w:w="15" w:type="dxa"/>
            <w:bottom w:w="15" w:type="dxa"/>
            <w:right w:w="15" w:type="dxa"/>
          </w:tblCellMar>
        </w:tblPrEx>
        <w:trPr>
          <w:trHeight w:val="553" w:hRule="atLeast"/>
        </w:trPr>
        <w:tc>
          <w:tcPr>
            <w:tcW w:w="590" w:type="dxa"/>
            <w:vMerge w:val="restart"/>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color w:val="000000"/>
                <w:sz w:val="22"/>
                <w:szCs w:val="22"/>
              </w:rPr>
            </w:pPr>
            <w:r>
              <w:rPr>
                <w:rFonts w:ascii="等线" w:hAnsi="等线" w:eastAsia="等线" w:cs="等线"/>
                <w:color w:val="000000"/>
                <w:kern w:val="0"/>
                <w:sz w:val="22"/>
                <w:szCs w:val="22"/>
              </w:rPr>
              <w:t>年度绩效指标完成情况</w:t>
            </w:r>
          </w:p>
        </w:tc>
        <w:tc>
          <w:tcPr>
            <w:tcW w:w="402" w:type="dxa"/>
            <w:gridSpan w:val="3"/>
            <w:vMerge w:val="restart"/>
            <w:tcBorders>
              <w:top w:val="single" w:color="000000" w:sz="4" w:space="0"/>
              <w:bottom w:val="single" w:color="000000" w:sz="4" w:space="0"/>
              <w:right w:val="single" w:color="000000" w:sz="4" w:space="0"/>
            </w:tcBorders>
            <w:shd w:val="clear" w:color="auto" w:fill="auto"/>
            <w:vAlign w:val="center"/>
          </w:tcPr>
          <w:p>
            <w:pPr>
              <w:widowControl/>
              <w:jc w:val="left"/>
              <w:textAlignment w:val="center"/>
              <w:rPr>
                <w:rFonts w:ascii="等线" w:hAnsi="等线" w:eastAsia="等线" w:cs="等线"/>
                <w:color w:val="000000"/>
                <w:sz w:val="22"/>
                <w:szCs w:val="22"/>
              </w:rPr>
            </w:pPr>
            <w:r>
              <w:rPr>
                <w:rFonts w:ascii="等线" w:hAnsi="等线" w:eastAsia="等线" w:cs="等线"/>
                <w:color w:val="000000"/>
                <w:kern w:val="0"/>
                <w:sz w:val="22"/>
                <w:szCs w:val="22"/>
              </w:rPr>
              <w:t>产出指标</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数量指标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办学教师、学员活动次数</w:t>
            </w:r>
          </w:p>
        </w:tc>
        <w:tc>
          <w:tcPr>
            <w:tcW w:w="245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&gt;5次</w:t>
            </w:r>
          </w:p>
        </w:tc>
        <w:tc>
          <w:tcPr>
            <w:tcW w:w="1665"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5</w:t>
            </w:r>
          </w:p>
        </w:tc>
      </w:tr>
      <w:tr>
        <w:tblPrEx>
          <w:tblCellMar>
            <w:top w:w="15" w:type="dxa"/>
            <w:left w:w="15" w:type="dxa"/>
            <w:bottom w:w="15" w:type="dxa"/>
            <w:right w:w="15" w:type="dxa"/>
          </w:tblCellMar>
        </w:tblPrEx>
        <w:trPr>
          <w:trHeight w:val="55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402" w:type="dxa"/>
            <w:gridSpan w:val="3"/>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数量指标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学校公众号老年教育办学宣传</w:t>
            </w:r>
          </w:p>
        </w:tc>
        <w:tc>
          <w:tcPr>
            <w:tcW w:w="245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&gt;8条</w:t>
            </w:r>
          </w:p>
        </w:tc>
        <w:tc>
          <w:tcPr>
            <w:tcW w:w="1665"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84</w:t>
            </w:r>
          </w:p>
        </w:tc>
      </w:tr>
      <w:tr>
        <w:tblPrEx>
          <w:tblCellMar>
            <w:top w:w="15" w:type="dxa"/>
            <w:left w:w="15" w:type="dxa"/>
            <w:bottom w:w="15" w:type="dxa"/>
            <w:right w:w="15" w:type="dxa"/>
          </w:tblCellMar>
        </w:tblPrEx>
        <w:trPr>
          <w:trHeight w:val="55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402" w:type="dxa"/>
            <w:gridSpan w:val="3"/>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数量指标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毕业汇报演出次数</w:t>
            </w:r>
          </w:p>
        </w:tc>
        <w:tc>
          <w:tcPr>
            <w:tcW w:w="245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&gt;4次</w:t>
            </w:r>
          </w:p>
        </w:tc>
        <w:tc>
          <w:tcPr>
            <w:tcW w:w="1665"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62</w:t>
            </w:r>
          </w:p>
        </w:tc>
      </w:tr>
      <w:tr>
        <w:tblPrEx>
          <w:tblCellMar>
            <w:top w:w="15" w:type="dxa"/>
            <w:left w:w="15" w:type="dxa"/>
            <w:bottom w:w="15" w:type="dxa"/>
            <w:right w:w="15" w:type="dxa"/>
          </w:tblCellMar>
        </w:tblPrEx>
        <w:trPr>
          <w:trHeight w:val="636"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402" w:type="dxa"/>
            <w:gridSpan w:val="3"/>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数量指标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教师、班长座谈会次数</w:t>
            </w:r>
          </w:p>
        </w:tc>
        <w:tc>
          <w:tcPr>
            <w:tcW w:w="245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&gt;4次</w:t>
            </w:r>
          </w:p>
        </w:tc>
        <w:tc>
          <w:tcPr>
            <w:tcW w:w="1665"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22</w:t>
            </w:r>
          </w:p>
        </w:tc>
      </w:tr>
      <w:tr>
        <w:tblPrEx>
          <w:tblCellMar>
            <w:top w:w="15" w:type="dxa"/>
            <w:left w:w="15" w:type="dxa"/>
            <w:bottom w:w="15" w:type="dxa"/>
            <w:right w:w="15" w:type="dxa"/>
          </w:tblCellMar>
        </w:tblPrEx>
        <w:trPr>
          <w:trHeight w:val="55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402" w:type="dxa"/>
            <w:gridSpan w:val="3"/>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质量指标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老年学员的老年教育工作完成率</w:t>
            </w:r>
          </w:p>
        </w:tc>
        <w:tc>
          <w:tcPr>
            <w:tcW w:w="245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&gt;90%</w:t>
            </w:r>
          </w:p>
        </w:tc>
        <w:tc>
          <w:tcPr>
            <w:tcW w:w="1665"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90%</w:t>
            </w:r>
          </w:p>
        </w:tc>
      </w:tr>
      <w:tr>
        <w:tblPrEx>
          <w:tblCellMar>
            <w:top w:w="15" w:type="dxa"/>
            <w:left w:w="15" w:type="dxa"/>
            <w:bottom w:w="15" w:type="dxa"/>
            <w:right w:w="15" w:type="dxa"/>
          </w:tblCellMar>
        </w:tblPrEx>
        <w:trPr>
          <w:trHeight w:val="55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402" w:type="dxa"/>
            <w:gridSpan w:val="3"/>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质量指标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办学结业率</w:t>
            </w:r>
          </w:p>
        </w:tc>
        <w:tc>
          <w:tcPr>
            <w:tcW w:w="245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&gt;70%</w:t>
            </w:r>
          </w:p>
        </w:tc>
        <w:tc>
          <w:tcPr>
            <w:tcW w:w="1665"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100%</w:t>
            </w:r>
          </w:p>
        </w:tc>
      </w:tr>
      <w:tr>
        <w:tblPrEx>
          <w:tblCellMar>
            <w:top w:w="15" w:type="dxa"/>
            <w:left w:w="15" w:type="dxa"/>
            <w:bottom w:w="15" w:type="dxa"/>
            <w:right w:w="15" w:type="dxa"/>
          </w:tblCellMar>
        </w:tblPrEx>
        <w:trPr>
          <w:trHeight w:val="55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402" w:type="dxa"/>
            <w:gridSpan w:val="3"/>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时效指标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年度计划完成时限</w:t>
            </w:r>
          </w:p>
        </w:tc>
        <w:tc>
          <w:tcPr>
            <w:tcW w:w="245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2020年12月31日</w:t>
            </w:r>
          </w:p>
        </w:tc>
        <w:tc>
          <w:tcPr>
            <w:tcW w:w="1665"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2020年12月31日</w:t>
            </w:r>
          </w:p>
        </w:tc>
      </w:tr>
      <w:tr>
        <w:tblPrEx>
          <w:tblCellMar>
            <w:top w:w="15" w:type="dxa"/>
            <w:left w:w="15" w:type="dxa"/>
            <w:bottom w:w="15" w:type="dxa"/>
            <w:right w:w="15" w:type="dxa"/>
          </w:tblCellMar>
        </w:tblPrEx>
        <w:trPr>
          <w:trHeight w:val="55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402" w:type="dxa"/>
            <w:gridSpan w:val="3"/>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成本指标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项目总成本</w:t>
            </w:r>
          </w:p>
        </w:tc>
        <w:tc>
          <w:tcPr>
            <w:tcW w:w="245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40万元</w:t>
            </w:r>
          </w:p>
        </w:tc>
        <w:tc>
          <w:tcPr>
            <w:tcW w:w="1665"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40万元</w:t>
            </w:r>
          </w:p>
        </w:tc>
      </w:tr>
      <w:tr>
        <w:tblPrEx>
          <w:tblCellMar>
            <w:top w:w="15" w:type="dxa"/>
            <w:left w:w="15" w:type="dxa"/>
            <w:bottom w:w="15" w:type="dxa"/>
            <w:right w:w="15" w:type="dxa"/>
          </w:tblCellMar>
        </w:tblPrEx>
        <w:trPr>
          <w:trHeight w:val="55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402" w:type="dxa"/>
            <w:gridSpan w:val="3"/>
            <w:vMerge w:val="restart"/>
            <w:tcBorders>
              <w:top w:val="single" w:color="000000" w:sz="4" w:space="0"/>
              <w:bottom w:val="single" w:color="000000" w:sz="4" w:space="0"/>
              <w:right w:val="single" w:color="000000" w:sz="4" w:space="0"/>
            </w:tcBorders>
            <w:shd w:val="clear" w:color="auto" w:fill="auto"/>
            <w:vAlign w:val="center"/>
          </w:tcPr>
          <w:p>
            <w:pPr>
              <w:widowControl/>
              <w:jc w:val="left"/>
              <w:textAlignment w:val="center"/>
              <w:rPr>
                <w:rFonts w:ascii="等线" w:hAnsi="等线" w:eastAsia="等线" w:cs="等线"/>
                <w:color w:val="000000"/>
                <w:sz w:val="22"/>
                <w:szCs w:val="22"/>
              </w:rPr>
            </w:pPr>
            <w:r>
              <w:rPr>
                <w:rFonts w:ascii="等线" w:hAnsi="等线" w:eastAsia="等线" w:cs="等线"/>
                <w:color w:val="000000"/>
                <w:kern w:val="0"/>
                <w:sz w:val="22"/>
                <w:szCs w:val="22"/>
              </w:rPr>
              <w:t>效益指标</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经济效益指标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本年预算内上缴国库学费</w:t>
            </w:r>
          </w:p>
        </w:tc>
        <w:tc>
          <w:tcPr>
            <w:tcW w:w="245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&gt;=73万元</w:t>
            </w:r>
          </w:p>
        </w:tc>
        <w:tc>
          <w:tcPr>
            <w:tcW w:w="1665"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0</w:t>
            </w:r>
          </w:p>
        </w:tc>
      </w:tr>
      <w:tr>
        <w:tblPrEx>
          <w:tblCellMar>
            <w:top w:w="15" w:type="dxa"/>
            <w:left w:w="15" w:type="dxa"/>
            <w:bottom w:w="15" w:type="dxa"/>
            <w:right w:w="15" w:type="dxa"/>
          </w:tblCellMar>
        </w:tblPrEx>
        <w:trPr>
          <w:trHeight w:val="55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402" w:type="dxa"/>
            <w:gridSpan w:val="3"/>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社会效益指标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为社会教师提供就业机会</w:t>
            </w:r>
          </w:p>
        </w:tc>
        <w:tc>
          <w:tcPr>
            <w:tcW w:w="245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不断加强</w:t>
            </w:r>
          </w:p>
        </w:tc>
        <w:tc>
          <w:tcPr>
            <w:tcW w:w="1665"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不断加强</w:t>
            </w:r>
          </w:p>
        </w:tc>
      </w:tr>
      <w:tr>
        <w:tblPrEx>
          <w:tblCellMar>
            <w:top w:w="15" w:type="dxa"/>
            <w:left w:w="15" w:type="dxa"/>
            <w:bottom w:w="15" w:type="dxa"/>
            <w:right w:w="15" w:type="dxa"/>
          </w:tblCellMar>
        </w:tblPrEx>
        <w:trPr>
          <w:trHeight w:val="55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402" w:type="dxa"/>
            <w:gridSpan w:val="3"/>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生态效益指标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等线" w:hAnsi="等线" w:eastAsia="等线" w:cs="等线"/>
                <w:color w:val="000000"/>
                <w:sz w:val="22"/>
                <w:szCs w:val="22"/>
              </w:rPr>
            </w:pPr>
          </w:p>
        </w:tc>
        <w:tc>
          <w:tcPr>
            <w:tcW w:w="245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等线" w:hAnsi="等线" w:eastAsia="等线" w:cs="等线"/>
                <w:color w:val="000000"/>
                <w:sz w:val="22"/>
                <w:szCs w:val="22"/>
              </w:rPr>
            </w:pPr>
          </w:p>
        </w:tc>
        <w:tc>
          <w:tcPr>
            <w:tcW w:w="1665"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等线" w:hAnsi="等线" w:eastAsia="等线" w:cs="等线"/>
                <w:color w:val="000000"/>
                <w:sz w:val="22"/>
                <w:szCs w:val="22"/>
              </w:rPr>
            </w:pPr>
          </w:p>
        </w:tc>
      </w:tr>
      <w:tr>
        <w:tblPrEx>
          <w:tblCellMar>
            <w:top w:w="15" w:type="dxa"/>
            <w:left w:w="15" w:type="dxa"/>
            <w:bottom w:w="15" w:type="dxa"/>
            <w:right w:w="15" w:type="dxa"/>
          </w:tblCellMar>
        </w:tblPrEx>
        <w:trPr>
          <w:trHeight w:val="720"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402" w:type="dxa"/>
            <w:gridSpan w:val="3"/>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可持续影响指标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持续提供老有所学、老有所乐的老年教育</w:t>
            </w:r>
          </w:p>
        </w:tc>
        <w:tc>
          <w:tcPr>
            <w:tcW w:w="245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不断提供并优化</w:t>
            </w:r>
          </w:p>
        </w:tc>
        <w:tc>
          <w:tcPr>
            <w:tcW w:w="1665"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不断提供并优化</w:t>
            </w:r>
          </w:p>
        </w:tc>
      </w:tr>
      <w:tr>
        <w:tblPrEx>
          <w:tblCellMar>
            <w:top w:w="15" w:type="dxa"/>
            <w:left w:w="15" w:type="dxa"/>
            <w:bottom w:w="15" w:type="dxa"/>
            <w:right w:w="15" w:type="dxa"/>
          </w:tblCellMar>
        </w:tblPrEx>
        <w:trPr>
          <w:trHeight w:val="109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402" w:type="dxa"/>
            <w:gridSpan w:val="3"/>
            <w:tcBorders>
              <w:top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满意度指标</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等线" w:hAnsi="等线" w:eastAsia="等线" w:cs="等线"/>
                <w:color w:val="000000"/>
                <w:sz w:val="22"/>
                <w:szCs w:val="22"/>
              </w:rPr>
            </w:pPr>
            <w:r>
              <w:rPr>
                <w:rFonts w:ascii="等线" w:hAnsi="等线" w:eastAsia="等线" w:cs="等线"/>
                <w:color w:val="000000"/>
                <w:kern w:val="0"/>
                <w:sz w:val="22"/>
                <w:szCs w:val="22"/>
              </w:rPr>
              <w:t>满意度指标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color w:val="000000"/>
                <w:sz w:val="22"/>
                <w:szCs w:val="22"/>
              </w:rPr>
            </w:pPr>
            <w:r>
              <w:rPr>
                <w:rFonts w:ascii="等线" w:hAnsi="等线" w:eastAsia="等线" w:cs="等线"/>
                <w:color w:val="000000"/>
                <w:kern w:val="0"/>
                <w:sz w:val="22"/>
                <w:szCs w:val="22"/>
              </w:rPr>
              <w:t>学员对办学质量的满意度</w:t>
            </w:r>
          </w:p>
        </w:tc>
        <w:tc>
          <w:tcPr>
            <w:tcW w:w="2450"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&gt;80%</w:t>
            </w:r>
          </w:p>
        </w:tc>
        <w:tc>
          <w:tcPr>
            <w:tcW w:w="1665" w:type="dxa"/>
            <w:gridSpan w:val="6"/>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95%</w:t>
            </w:r>
          </w:p>
        </w:tc>
      </w:tr>
      <w:tr>
        <w:tblPrEx>
          <w:tblCellMar>
            <w:top w:w="15" w:type="dxa"/>
            <w:left w:w="15" w:type="dxa"/>
            <w:bottom w:w="15" w:type="dxa"/>
            <w:right w:w="15" w:type="dxa"/>
          </w:tblCellMar>
        </w:tblPrEx>
        <w:trPr>
          <w:trHeight w:val="396" w:hRule="atLeast"/>
        </w:trPr>
        <w:tc>
          <w:tcPr>
            <w:tcW w:w="9109" w:type="dxa"/>
            <w:gridSpan w:val="15"/>
            <w:shd w:val="clear" w:color="auto" w:fill="auto"/>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rPr>
              <w:t>自治区财政项目支出绩效自评表</w:t>
            </w:r>
          </w:p>
        </w:tc>
      </w:tr>
      <w:tr>
        <w:tblPrEx>
          <w:tblCellMar>
            <w:top w:w="15" w:type="dxa"/>
            <w:left w:w="15" w:type="dxa"/>
            <w:bottom w:w="15" w:type="dxa"/>
            <w:right w:w="15" w:type="dxa"/>
          </w:tblCellMar>
        </w:tblPrEx>
        <w:trPr>
          <w:trHeight w:val="313" w:hRule="atLeast"/>
        </w:trPr>
        <w:tc>
          <w:tcPr>
            <w:tcW w:w="9109" w:type="dxa"/>
            <w:gridSpan w:val="15"/>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(2020年度)</w:t>
            </w:r>
          </w:p>
        </w:tc>
      </w:tr>
      <w:tr>
        <w:tblPrEx>
          <w:tblCellMar>
            <w:top w:w="15" w:type="dxa"/>
            <w:left w:w="15" w:type="dxa"/>
            <w:bottom w:w="15" w:type="dxa"/>
            <w:right w:w="15" w:type="dxa"/>
          </w:tblCellMar>
        </w:tblPrEx>
        <w:trPr>
          <w:trHeight w:val="360" w:hRule="atLeast"/>
        </w:trPr>
        <w:tc>
          <w:tcPr>
            <w:tcW w:w="590" w:type="dxa"/>
            <w:shd w:val="clear" w:color="auto" w:fill="auto"/>
            <w:vAlign w:val="center"/>
          </w:tcPr>
          <w:p>
            <w:pPr>
              <w:rPr>
                <w:rFonts w:ascii="Calibri" w:hAnsi="Calibri" w:eastAsia="等线" w:cs="Calibri"/>
                <w:color w:val="000000"/>
                <w:sz w:val="22"/>
                <w:szCs w:val="22"/>
              </w:rPr>
            </w:pPr>
          </w:p>
        </w:tc>
        <w:tc>
          <w:tcPr>
            <w:tcW w:w="337" w:type="dxa"/>
            <w:shd w:val="clear" w:color="auto" w:fill="auto"/>
            <w:vAlign w:val="center"/>
          </w:tcPr>
          <w:p>
            <w:pPr>
              <w:rPr>
                <w:rFonts w:ascii="Calibri" w:hAnsi="Calibri" w:eastAsia="等线" w:cs="Calibri"/>
                <w:color w:val="000000"/>
                <w:sz w:val="22"/>
                <w:szCs w:val="22"/>
              </w:rPr>
            </w:pPr>
          </w:p>
        </w:tc>
        <w:tc>
          <w:tcPr>
            <w:tcW w:w="1021" w:type="dxa"/>
            <w:gridSpan w:val="3"/>
            <w:shd w:val="clear" w:color="auto" w:fill="auto"/>
            <w:vAlign w:val="center"/>
          </w:tcPr>
          <w:p>
            <w:pPr>
              <w:rPr>
                <w:rFonts w:ascii="Calibri" w:hAnsi="Calibri" w:eastAsia="等线" w:cs="Calibri"/>
                <w:color w:val="000000"/>
                <w:sz w:val="22"/>
                <w:szCs w:val="22"/>
              </w:rPr>
            </w:pPr>
          </w:p>
        </w:tc>
        <w:tc>
          <w:tcPr>
            <w:tcW w:w="1563" w:type="dxa"/>
            <w:shd w:val="clear" w:color="auto" w:fill="auto"/>
            <w:vAlign w:val="center"/>
          </w:tcPr>
          <w:p>
            <w:pPr>
              <w:rPr>
                <w:rFonts w:ascii="Calibri" w:hAnsi="Calibri" w:eastAsia="等线" w:cs="Calibri"/>
                <w:color w:val="000000"/>
                <w:sz w:val="22"/>
                <w:szCs w:val="22"/>
              </w:rPr>
            </w:pPr>
          </w:p>
        </w:tc>
        <w:tc>
          <w:tcPr>
            <w:tcW w:w="1483" w:type="dxa"/>
            <w:shd w:val="clear" w:color="auto" w:fill="auto"/>
            <w:vAlign w:val="center"/>
          </w:tcPr>
          <w:p>
            <w:pPr>
              <w:rPr>
                <w:rFonts w:ascii="Calibri" w:hAnsi="Calibri" w:eastAsia="等线" w:cs="Calibri"/>
                <w:color w:val="000000"/>
                <w:sz w:val="22"/>
                <w:szCs w:val="22"/>
              </w:rPr>
            </w:pPr>
          </w:p>
        </w:tc>
        <w:tc>
          <w:tcPr>
            <w:tcW w:w="1265" w:type="dxa"/>
            <w:shd w:val="clear" w:color="auto" w:fill="auto"/>
            <w:vAlign w:val="center"/>
          </w:tcPr>
          <w:p>
            <w:pPr>
              <w:rPr>
                <w:rFonts w:ascii="Calibri" w:hAnsi="Calibri" w:eastAsia="等线" w:cs="Calibri"/>
                <w:color w:val="000000"/>
                <w:sz w:val="22"/>
                <w:szCs w:val="22"/>
              </w:rPr>
            </w:pPr>
          </w:p>
        </w:tc>
        <w:tc>
          <w:tcPr>
            <w:tcW w:w="1455" w:type="dxa"/>
            <w:gridSpan w:val="2"/>
            <w:shd w:val="clear" w:color="auto" w:fill="auto"/>
            <w:vAlign w:val="center"/>
          </w:tcPr>
          <w:p>
            <w:pPr>
              <w:rPr>
                <w:rFonts w:ascii="Calibri" w:hAnsi="Calibri" w:eastAsia="等线" w:cs="Calibri"/>
                <w:color w:val="000000"/>
                <w:sz w:val="22"/>
                <w:szCs w:val="22"/>
              </w:rPr>
            </w:pPr>
          </w:p>
        </w:tc>
        <w:tc>
          <w:tcPr>
            <w:tcW w:w="1137" w:type="dxa"/>
            <w:gridSpan w:val="4"/>
            <w:shd w:val="clear" w:color="auto" w:fill="auto"/>
            <w:vAlign w:val="bottom"/>
          </w:tcPr>
          <w:p>
            <w:pPr>
              <w:rPr>
                <w:rFonts w:ascii="等线" w:hAnsi="等线" w:eastAsia="等线" w:cs="等线"/>
                <w:color w:val="000000"/>
                <w:sz w:val="22"/>
                <w:szCs w:val="22"/>
              </w:rPr>
            </w:pPr>
          </w:p>
        </w:tc>
        <w:tc>
          <w:tcPr>
            <w:tcW w:w="258" w:type="dxa"/>
            <w:shd w:val="clear" w:color="auto" w:fill="auto"/>
            <w:vAlign w:val="bottom"/>
          </w:tcPr>
          <w:p>
            <w:pPr>
              <w:rPr>
                <w:rFonts w:ascii="等线" w:hAnsi="等线" w:eastAsia="等线" w:cs="等线"/>
                <w:color w:val="000000"/>
                <w:sz w:val="22"/>
                <w:szCs w:val="22"/>
              </w:rPr>
            </w:pPr>
          </w:p>
        </w:tc>
      </w:tr>
      <w:tr>
        <w:tblPrEx>
          <w:tblCellMar>
            <w:top w:w="15" w:type="dxa"/>
            <w:left w:w="15" w:type="dxa"/>
            <w:bottom w:w="15" w:type="dxa"/>
            <w:right w:w="15" w:type="dxa"/>
          </w:tblCellMar>
        </w:tblPrEx>
        <w:trPr>
          <w:trHeight w:val="432" w:hRule="atLeast"/>
        </w:trPr>
        <w:tc>
          <w:tcPr>
            <w:tcW w:w="194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项目名称</w:t>
            </w:r>
          </w:p>
        </w:tc>
        <w:tc>
          <w:tcPr>
            <w:tcW w:w="716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教师代课费</w:t>
            </w:r>
          </w:p>
        </w:tc>
      </w:tr>
      <w:tr>
        <w:tblPrEx>
          <w:tblCellMar>
            <w:top w:w="15" w:type="dxa"/>
            <w:left w:w="15" w:type="dxa"/>
            <w:bottom w:w="15" w:type="dxa"/>
            <w:right w:w="15" w:type="dxa"/>
          </w:tblCellMar>
        </w:tblPrEx>
        <w:trPr>
          <w:trHeight w:val="625" w:hRule="atLeast"/>
        </w:trPr>
        <w:tc>
          <w:tcPr>
            <w:tcW w:w="194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预算单位</w:t>
            </w:r>
          </w:p>
        </w:tc>
        <w:tc>
          <w:tcPr>
            <w:tcW w:w="716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新疆维吾尔自治区老年大学</w:t>
            </w:r>
          </w:p>
        </w:tc>
      </w:tr>
      <w:tr>
        <w:tblPrEx>
          <w:tblCellMar>
            <w:top w:w="15" w:type="dxa"/>
            <w:left w:w="15" w:type="dxa"/>
            <w:bottom w:w="15" w:type="dxa"/>
            <w:right w:w="15" w:type="dxa"/>
          </w:tblCellMar>
        </w:tblPrEx>
        <w:trPr>
          <w:trHeight w:val="912" w:hRule="atLeast"/>
        </w:trPr>
        <w:tc>
          <w:tcPr>
            <w:tcW w:w="5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预算执行情况（万元）</w:t>
            </w:r>
          </w:p>
        </w:tc>
        <w:tc>
          <w:tcPr>
            <w:tcW w:w="13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年初预算数</w:t>
            </w:r>
          </w:p>
        </w:tc>
        <w:tc>
          <w:tcPr>
            <w:tcW w:w="2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全年预算数</w:t>
            </w:r>
          </w:p>
        </w:tc>
        <w:tc>
          <w:tcPr>
            <w:tcW w:w="1395" w:type="dxa"/>
            <w:gridSpan w:val="5"/>
            <w:tcBorders>
              <w:top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全年执行数</w:t>
            </w:r>
          </w:p>
        </w:tc>
      </w:tr>
      <w:tr>
        <w:tblPrEx>
          <w:tblCellMar>
            <w:top w:w="15" w:type="dxa"/>
            <w:left w:w="15" w:type="dxa"/>
            <w:bottom w:w="15" w:type="dxa"/>
            <w:right w:w="15" w:type="dxa"/>
          </w:tblCellMar>
        </w:tblPrEx>
        <w:trPr>
          <w:trHeight w:val="540"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135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304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73</w:t>
            </w:r>
          </w:p>
        </w:tc>
        <w:tc>
          <w:tcPr>
            <w:tcW w:w="27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73</w:t>
            </w:r>
          </w:p>
        </w:tc>
        <w:tc>
          <w:tcPr>
            <w:tcW w:w="1395" w:type="dxa"/>
            <w:gridSpan w:val="5"/>
            <w:vMerge w:val="restart"/>
            <w:tcBorders>
              <w:top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41</w:t>
            </w:r>
            <w:r>
              <w:rPr>
                <w:rFonts w:hint="eastAsia" w:ascii="宋体" w:hAnsi="宋体" w:cs="宋体"/>
                <w:color w:val="000000"/>
                <w:kern w:val="0"/>
                <w:sz w:val="24"/>
                <w:lang w:val="en-US" w:eastAsia="zh-CN"/>
              </w:rPr>
              <w:t>.</w:t>
            </w:r>
            <w:r>
              <w:rPr>
                <w:rFonts w:hint="eastAsia" w:ascii="宋体" w:hAnsi="宋体" w:cs="宋体"/>
                <w:color w:val="000000"/>
                <w:kern w:val="0"/>
                <w:sz w:val="24"/>
              </w:rPr>
              <w:t>795344</w:t>
            </w:r>
          </w:p>
        </w:tc>
      </w:tr>
      <w:tr>
        <w:tblPrEx>
          <w:tblCellMar>
            <w:top w:w="15" w:type="dxa"/>
            <w:left w:w="15" w:type="dxa"/>
            <w:bottom w:w="15" w:type="dxa"/>
            <w:right w:w="15" w:type="dxa"/>
          </w:tblCellMar>
        </w:tblPrEx>
        <w:trPr>
          <w:trHeight w:val="495"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135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color w:val="000000"/>
                <w:sz w:val="24"/>
              </w:rPr>
            </w:pPr>
          </w:p>
        </w:tc>
        <w:tc>
          <w:tcPr>
            <w:tcW w:w="30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27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1395" w:type="dxa"/>
            <w:gridSpan w:val="5"/>
            <w:vMerge w:val="continue"/>
            <w:tcBorders>
              <w:top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r>
      <w:tr>
        <w:tblPrEx>
          <w:tblCellMar>
            <w:top w:w="15" w:type="dxa"/>
            <w:left w:w="15" w:type="dxa"/>
            <w:bottom w:w="15" w:type="dxa"/>
            <w:right w:w="15" w:type="dxa"/>
          </w:tblCellMar>
        </w:tblPrEx>
        <w:trPr>
          <w:trHeight w:val="636"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13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rPr>
              <w:t>其中：当年财政拨款</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73</w:t>
            </w:r>
          </w:p>
        </w:tc>
        <w:tc>
          <w:tcPr>
            <w:tcW w:w="2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73</w:t>
            </w:r>
          </w:p>
        </w:tc>
        <w:tc>
          <w:tcPr>
            <w:tcW w:w="13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41</w:t>
            </w:r>
            <w:r>
              <w:rPr>
                <w:rFonts w:hint="eastAsia" w:ascii="宋体" w:hAnsi="宋体" w:cs="宋体"/>
                <w:color w:val="000000"/>
                <w:kern w:val="0"/>
                <w:sz w:val="24"/>
                <w:lang w:val="en-US" w:eastAsia="zh-CN"/>
              </w:rPr>
              <w:t>.</w:t>
            </w:r>
            <w:r>
              <w:rPr>
                <w:rFonts w:hint="eastAsia" w:ascii="宋体" w:hAnsi="宋体" w:cs="宋体"/>
                <w:color w:val="000000"/>
                <w:kern w:val="0"/>
                <w:sz w:val="24"/>
              </w:rPr>
              <w:t>795344</w:t>
            </w:r>
          </w:p>
        </w:tc>
      </w:tr>
      <w:tr>
        <w:tblPrEx>
          <w:tblCellMar>
            <w:top w:w="15" w:type="dxa"/>
            <w:left w:w="15" w:type="dxa"/>
            <w:bottom w:w="15" w:type="dxa"/>
            <w:right w:w="15" w:type="dxa"/>
          </w:tblCellMar>
        </w:tblPrEx>
        <w:trPr>
          <w:trHeight w:val="432"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13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rPr>
              <w:t>上年结转资金</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0</w:t>
            </w:r>
          </w:p>
        </w:tc>
        <w:tc>
          <w:tcPr>
            <w:tcW w:w="2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0</w:t>
            </w:r>
          </w:p>
        </w:tc>
        <w:tc>
          <w:tcPr>
            <w:tcW w:w="13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0</w:t>
            </w:r>
          </w:p>
        </w:tc>
      </w:tr>
      <w:tr>
        <w:tblPrEx>
          <w:tblCellMar>
            <w:top w:w="15" w:type="dxa"/>
            <w:left w:w="15" w:type="dxa"/>
            <w:bottom w:w="15" w:type="dxa"/>
            <w:right w:w="15" w:type="dxa"/>
          </w:tblCellMar>
        </w:tblPrEx>
        <w:trPr>
          <w:trHeight w:val="432"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13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rPr>
              <w:t>其他资金</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0</w:t>
            </w:r>
          </w:p>
        </w:tc>
        <w:tc>
          <w:tcPr>
            <w:tcW w:w="2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0</w:t>
            </w:r>
          </w:p>
        </w:tc>
        <w:tc>
          <w:tcPr>
            <w:tcW w:w="13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0</w:t>
            </w:r>
          </w:p>
        </w:tc>
      </w:tr>
      <w:tr>
        <w:tblPrEx>
          <w:tblCellMar>
            <w:top w:w="15" w:type="dxa"/>
            <w:left w:w="15" w:type="dxa"/>
            <w:bottom w:w="15" w:type="dxa"/>
            <w:right w:w="15" w:type="dxa"/>
          </w:tblCellMar>
        </w:tblPrEx>
        <w:trPr>
          <w:trHeight w:val="432" w:hRule="atLeast"/>
        </w:trPr>
        <w:tc>
          <w:tcPr>
            <w:tcW w:w="5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年度目标完成情况</w:t>
            </w:r>
          </w:p>
        </w:tc>
        <w:tc>
          <w:tcPr>
            <w:tcW w:w="440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预期目标</w:t>
            </w:r>
          </w:p>
        </w:tc>
        <w:tc>
          <w:tcPr>
            <w:tcW w:w="411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实际完成目标</w:t>
            </w:r>
          </w:p>
        </w:tc>
      </w:tr>
      <w:tr>
        <w:tblPrEx>
          <w:tblCellMar>
            <w:top w:w="15" w:type="dxa"/>
            <w:left w:w="15" w:type="dxa"/>
            <w:bottom w:w="15" w:type="dxa"/>
            <w:right w:w="15" w:type="dxa"/>
          </w:tblCellMar>
        </w:tblPrEx>
        <w:trPr>
          <w:trHeight w:val="540"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4404"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认真落实人民政府“关于加强老年教育工作意见的通知”，紧紧围绕“六个老有”的老龄工作目标，为老年同志学习做好服务保障，为推进全区老年教育事业的发展做出更大贡献。</w:t>
            </w:r>
          </w:p>
        </w:tc>
        <w:tc>
          <w:tcPr>
            <w:tcW w:w="4115" w:type="dxa"/>
            <w:gridSpan w:val="8"/>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本学年根据教学进度正常进行经费开支,部分绩效指标未能100%完成.</w:t>
            </w:r>
          </w:p>
        </w:tc>
      </w:tr>
      <w:tr>
        <w:tblPrEx>
          <w:tblCellMar>
            <w:top w:w="15" w:type="dxa"/>
            <w:left w:w="15" w:type="dxa"/>
            <w:bottom w:w="15" w:type="dxa"/>
            <w:right w:w="15" w:type="dxa"/>
          </w:tblCellMar>
        </w:tblPrEx>
        <w:trPr>
          <w:trHeight w:val="540"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4404"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4115"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r>
      <w:tr>
        <w:tblPrEx>
          <w:tblCellMar>
            <w:top w:w="15" w:type="dxa"/>
            <w:left w:w="15" w:type="dxa"/>
            <w:bottom w:w="15" w:type="dxa"/>
            <w:right w:w="15" w:type="dxa"/>
          </w:tblCellMar>
        </w:tblPrEx>
        <w:trPr>
          <w:trHeight w:val="540"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4404"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4115"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r>
      <w:tr>
        <w:tblPrEx>
          <w:tblCellMar>
            <w:top w:w="15" w:type="dxa"/>
            <w:left w:w="15" w:type="dxa"/>
            <w:bottom w:w="15" w:type="dxa"/>
            <w:right w:w="15" w:type="dxa"/>
          </w:tblCellMar>
        </w:tblPrEx>
        <w:trPr>
          <w:trHeight w:val="1321" w:hRule="atLeast"/>
        </w:trPr>
        <w:tc>
          <w:tcPr>
            <w:tcW w:w="590" w:type="dxa"/>
            <w:tcBorders>
              <w:top w:val="single" w:color="000000" w:sz="4" w:space="0"/>
              <w:left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337" w:type="dxa"/>
            <w:tcBorders>
              <w:top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一级指标</w:t>
            </w:r>
          </w:p>
        </w:tc>
        <w:tc>
          <w:tcPr>
            <w:tcW w:w="1021" w:type="dxa"/>
            <w:gridSpan w:val="3"/>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3046" w:type="dxa"/>
            <w:gridSpan w:val="2"/>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2720" w:type="dxa"/>
            <w:gridSpan w:val="3"/>
            <w:tcBorders>
              <w:top w:val="single" w:color="000000" w:sz="4" w:space="0"/>
              <w:lef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预期指标值（包含数字及文字描述）</w:t>
            </w:r>
          </w:p>
        </w:tc>
        <w:tc>
          <w:tcPr>
            <w:tcW w:w="1395" w:type="dxa"/>
            <w:gridSpan w:val="5"/>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实际完成指标值（包含数字及文字描述）</w:t>
            </w:r>
          </w:p>
        </w:tc>
      </w:tr>
      <w:tr>
        <w:tblPrEx>
          <w:tblCellMar>
            <w:top w:w="15" w:type="dxa"/>
            <w:left w:w="15" w:type="dxa"/>
            <w:bottom w:w="15" w:type="dxa"/>
            <w:right w:w="15" w:type="dxa"/>
          </w:tblCellMar>
        </w:tblPrEx>
        <w:trPr>
          <w:trHeight w:val="553" w:hRule="atLeast"/>
        </w:trPr>
        <w:tc>
          <w:tcPr>
            <w:tcW w:w="590" w:type="dxa"/>
            <w:vMerge w:val="restart"/>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color w:val="000000"/>
                <w:sz w:val="22"/>
                <w:szCs w:val="22"/>
              </w:rPr>
            </w:pPr>
            <w:r>
              <w:rPr>
                <w:rFonts w:ascii="等线" w:hAnsi="等线" w:eastAsia="等线" w:cs="等线"/>
                <w:color w:val="000000"/>
                <w:kern w:val="0"/>
                <w:sz w:val="22"/>
                <w:szCs w:val="22"/>
              </w:rPr>
              <w:t>年度绩效指标完成情况</w:t>
            </w:r>
          </w:p>
        </w:tc>
        <w:tc>
          <w:tcPr>
            <w:tcW w:w="337" w:type="dxa"/>
            <w:vMerge w:val="restart"/>
            <w:tcBorders>
              <w:top w:val="single" w:color="000000" w:sz="4" w:space="0"/>
              <w:bottom w:val="single" w:color="000000" w:sz="4" w:space="0"/>
              <w:right w:val="single" w:color="000000" w:sz="4" w:space="0"/>
            </w:tcBorders>
            <w:shd w:val="clear" w:color="auto" w:fill="auto"/>
            <w:vAlign w:val="center"/>
          </w:tcPr>
          <w:p>
            <w:pPr>
              <w:widowControl/>
              <w:jc w:val="left"/>
              <w:textAlignment w:val="center"/>
              <w:rPr>
                <w:rFonts w:ascii="等线" w:hAnsi="等线" w:eastAsia="等线" w:cs="等线"/>
                <w:color w:val="000000"/>
                <w:sz w:val="22"/>
                <w:szCs w:val="22"/>
              </w:rPr>
            </w:pPr>
            <w:r>
              <w:rPr>
                <w:rFonts w:ascii="等线" w:hAnsi="等线" w:eastAsia="等线" w:cs="等线"/>
                <w:color w:val="000000"/>
                <w:kern w:val="0"/>
                <w:sz w:val="22"/>
                <w:szCs w:val="22"/>
              </w:rPr>
              <w:t>产出指标</w:t>
            </w: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数量指标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教师团队人数</w:t>
            </w:r>
          </w:p>
        </w:tc>
        <w:tc>
          <w:tcPr>
            <w:tcW w:w="2720"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30-60人</w:t>
            </w:r>
          </w:p>
        </w:tc>
        <w:tc>
          <w:tcPr>
            <w:tcW w:w="1395"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36</w:t>
            </w:r>
          </w:p>
        </w:tc>
      </w:tr>
      <w:tr>
        <w:tblPrEx>
          <w:tblCellMar>
            <w:top w:w="15" w:type="dxa"/>
            <w:left w:w="15" w:type="dxa"/>
            <w:bottom w:w="15" w:type="dxa"/>
            <w:right w:w="15" w:type="dxa"/>
          </w:tblCellMar>
        </w:tblPrEx>
        <w:trPr>
          <w:trHeight w:val="55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337" w:type="dxa"/>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数量指标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学期学员人次</w:t>
            </w:r>
          </w:p>
        </w:tc>
        <w:tc>
          <w:tcPr>
            <w:tcW w:w="2720"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≧2000</w:t>
            </w:r>
          </w:p>
        </w:tc>
        <w:tc>
          <w:tcPr>
            <w:tcW w:w="1395"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2552</w:t>
            </w:r>
          </w:p>
        </w:tc>
      </w:tr>
      <w:tr>
        <w:tblPrEx>
          <w:tblCellMar>
            <w:top w:w="15" w:type="dxa"/>
            <w:left w:w="15" w:type="dxa"/>
            <w:bottom w:w="15" w:type="dxa"/>
            <w:right w:w="15" w:type="dxa"/>
          </w:tblCellMar>
        </w:tblPrEx>
        <w:trPr>
          <w:trHeight w:val="55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337" w:type="dxa"/>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质量指标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老年教育教师劳务费保障率</w:t>
            </w:r>
          </w:p>
        </w:tc>
        <w:tc>
          <w:tcPr>
            <w:tcW w:w="2720"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1</w:t>
            </w:r>
          </w:p>
        </w:tc>
        <w:tc>
          <w:tcPr>
            <w:tcW w:w="1395"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100%</w:t>
            </w:r>
          </w:p>
        </w:tc>
      </w:tr>
      <w:tr>
        <w:tblPrEx>
          <w:tblCellMar>
            <w:top w:w="15" w:type="dxa"/>
            <w:left w:w="15" w:type="dxa"/>
            <w:bottom w:w="15" w:type="dxa"/>
            <w:right w:w="15" w:type="dxa"/>
          </w:tblCellMar>
        </w:tblPrEx>
        <w:trPr>
          <w:trHeight w:val="840"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337" w:type="dxa"/>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时效指标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上缴学费时限</w:t>
            </w:r>
          </w:p>
        </w:tc>
        <w:tc>
          <w:tcPr>
            <w:tcW w:w="2720"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4月及10月</w:t>
            </w:r>
          </w:p>
        </w:tc>
        <w:tc>
          <w:tcPr>
            <w:tcW w:w="1395"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试运行阶段,暂时不收取学费</w:t>
            </w:r>
          </w:p>
        </w:tc>
      </w:tr>
      <w:tr>
        <w:tblPrEx>
          <w:tblCellMar>
            <w:top w:w="15" w:type="dxa"/>
            <w:left w:w="15" w:type="dxa"/>
            <w:bottom w:w="15" w:type="dxa"/>
            <w:right w:w="15" w:type="dxa"/>
          </w:tblCellMar>
        </w:tblPrEx>
        <w:trPr>
          <w:trHeight w:val="55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337" w:type="dxa"/>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时效指标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年度计划完成时限</w:t>
            </w:r>
          </w:p>
        </w:tc>
        <w:tc>
          <w:tcPr>
            <w:tcW w:w="2720"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&lt;=2020年12月31日</w:t>
            </w:r>
          </w:p>
        </w:tc>
        <w:tc>
          <w:tcPr>
            <w:tcW w:w="1395"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 xml:space="preserve">2020年12月31日 </w:t>
            </w:r>
          </w:p>
        </w:tc>
      </w:tr>
      <w:tr>
        <w:tblPrEx>
          <w:tblCellMar>
            <w:top w:w="15" w:type="dxa"/>
            <w:left w:w="15" w:type="dxa"/>
            <w:bottom w:w="15" w:type="dxa"/>
            <w:right w:w="15" w:type="dxa"/>
          </w:tblCellMar>
        </w:tblPrEx>
        <w:trPr>
          <w:trHeight w:val="55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337" w:type="dxa"/>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成本指标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项目支出成本</w:t>
            </w:r>
          </w:p>
        </w:tc>
        <w:tc>
          <w:tcPr>
            <w:tcW w:w="2720"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&lt;=73万元</w:t>
            </w:r>
          </w:p>
        </w:tc>
        <w:tc>
          <w:tcPr>
            <w:tcW w:w="1395"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417953.44</w:t>
            </w:r>
          </w:p>
        </w:tc>
      </w:tr>
      <w:tr>
        <w:tblPrEx>
          <w:tblCellMar>
            <w:top w:w="15" w:type="dxa"/>
            <w:left w:w="15" w:type="dxa"/>
            <w:bottom w:w="15" w:type="dxa"/>
            <w:right w:w="15" w:type="dxa"/>
          </w:tblCellMar>
        </w:tblPrEx>
        <w:trPr>
          <w:trHeight w:val="55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337" w:type="dxa"/>
            <w:vMerge w:val="restart"/>
            <w:tcBorders>
              <w:top w:val="single" w:color="000000" w:sz="4" w:space="0"/>
              <w:bottom w:val="single" w:color="000000" w:sz="4" w:space="0"/>
              <w:right w:val="single" w:color="000000" w:sz="4" w:space="0"/>
            </w:tcBorders>
            <w:shd w:val="clear" w:color="auto" w:fill="auto"/>
            <w:vAlign w:val="center"/>
          </w:tcPr>
          <w:p>
            <w:pPr>
              <w:widowControl/>
              <w:jc w:val="left"/>
              <w:textAlignment w:val="center"/>
              <w:rPr>
                <w:rFonts w:ascii="等线" w:hAnsi="等线" w:eastAsia="等线" w:cs="等线"/>
                <w:color w:val="000000"/>
                <w:sz w:val="22"/>
                <w:szCs w:val="22"/>
              </w:rPr>
            </w:pPr>
            <w:r>
              <w:rPr>
                <w:rFonts w:ascii="等线" w:hAnsi="等线" w:eastAsia="等线" w:cs="等线"/>
                <w:color w:val="000000"/>
                <w:kern w:val="0"/>
                <w:sz w:val="22"/>
                <w:szCs w:val="22"/>
              </w:rPr>
              <w:t>效益指标</w:t>
            </w: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经济效益指标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本年预算内上缴国库学费</w:t>
            </w:r>
          </w:p>
        </w:tc>
        <w:tc>
          <w:tcPr>
            <w:tcW w:w="2720"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&gt;=73万元</w:t>
            </w:r>
          </w:p>
        </w:tc>
        <w:tc>
          <w:tcPr>
            <w:tcW w:w="1395"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0</w:t>
            </w:r>
          </w:p>
        </w:tc>
      </w:tr>
      <w:tr>
        <w:tblPrEx>
          <w:tblCellMar>
            <w:top w:w="15" w:type="dxa"/>
            <w:left w:w="15" w:type="dxa"/>
            <w:bottom w:w="15" w:type="dxa"/>
            <w:right w:w="15" w:type="dxa"/>
          </w:tblCellMar>
        </w:tblPrEx>
        <w:trPr>
          <w:trHeight w:val="55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337" w:type="dxa"/>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社会效益指标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为社会教师提供就业机会</w:t>
            </w:r>
          </w:p>
        </w:tc>
        <w:tc>
          <w:tcPr>
            <w:tcW w:w="2720"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不断增强</w:t>
            </w:r>
          </w:p>
        </w:tc>
        <w:tc>
          <w:tcPr>
            <w:tcW w:w="1395"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 xml:space="preserve"> 不断增强</w:t>
            </w:r>
          </w:p>
        </w:tc>
      </w:tr>
      <w:tr>
        <w:tblPrEx>
          <w:tblCellMar>
            <w:top w:w="15" w:type="dxa"/>
            <w:left w:w="15" w:type="dxa"/>
            <w:bottom w:w="15" w:type="dxa"/>
            <w:right w:w="15" w:type="dxa"/>
          </w:tblCellMar>
        </w:tblPrEx>
        <w:trPr>
          <w:trHeight w:val="540"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337" w:type="dxa"/>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生态效益指标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等线" w:hAnsi="等线" w:eastAsia="等线" w:cs="等线"/>
                <w:color w:val="000000"/>
                <w:sz w:val="22"/>
                <w:szCs w:val="22"/>
              </w:rPr>
            </w:pPr>
          </w:p>
        </w:tc>
        <w:tc>
          <w:tcPr>
            <w:tcW w:w="2720"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等线" w:hAnsi="等线" w:eastAsia="等线" w:cs="等线"/>
                <w:color w:val="000000"/>
                <w:sz w:val="22"/>
                <w:szCs w:val="22"/>
              </w:rPr>
            </w:pPr>
          </w:p>
        </w:tc>
        <w:tc>
          <w:tcPr>
            <w:tcW w:w="1395"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等线" w:hAnsi="等线" w:eastAsia="等线" w:cs="等线"/>
                <w:color w:val="000000"/>
                <w:sz w:val="22"/>
                <w:szCs w:val="22"/>
              </w:rPr>
            </w:pPr>
          </w:p>
        </w:tc>
      </w:tr>
      <w:tr>
        <w:tblPrEx>
          <w:tblCellMar>
            <w:top w:w="15" w:type="dxa"/>
            <w:left w:w="15" w:type="dxa"/>
            <w:bottom w:w="15" w:type="dxa"/>
            <w:right w:w="15" w:type="dxa"/>
          </w:tblCellMar>
        </w:tblPrEx>
        <w:trPr>
          <w:trHeight w:val="660"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337" w:type="dxa"/>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可持续影响指标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持续提高老年教育发展的覆盖面</w:t>
            </w:r>
          </w:p>
        </w:tc>
        <w:tc>
          <w:tcPr>
            <w:tcW w:w="2720"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扩大影响</w:t>
            </w:r>
          </w:p>
        </w:tc>
        <w:tc>
          <w:tcPr>
            <w:tcW w:w="1395" w:type="dxa"/>
            <w:gridSpan w:val="5"/>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扩大影响</w:t>
            </w:r>
          </w:p>
        </w:tc>
      </w:tr>
      <w:tr>
        <w:tblPrEx>
          <w:tblCellMar>
            <w:top w:w="15" w:type="dxa"/>
            <w:left w:w="15" w:type="dxa"/>
            <w:bottom w:w="15" w:type="dxa"/>
            <w:right w:w="15" w:type="dxa"/>
          </w:tblCellMar>
        </w:tblPrEx>
        <w:trPr>
          <w:trHeight w:val="1717"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337" w:type="dxa"/>
            <w:tcBorders>
              <w:top w:val="single" w:color="000000" w:sz="4" w:space="0"/>
              <w:bottom w:val="single" w:color="000000" w:sz="4" w:space="0"/>
              <w:right w:val="single" w:color="000000" w:sz="4" w:space="0"/>
            </w:tcBorders>
            <w:shd w:val="clear" w:color="auto" w:fill="auto"/>
          </w:tcPr>
          <w:p>
            <w:pPr>
              <w:widowControl/>
              <w:jc w:val="left"/>
              <w:textAlignment w:val="top"/>
              <w:rPr>
                <w:rFonts w:ascii="等线" w:hAnsi="等线" w:eastAsia="等线" w:cs="等线"/>
                <w:color w:val="000000"/>
                <w:sz w:val="22"/>
                <w:szCs w:val="22"/>
              </w:rPr>
            </w:pPr>
            <w:r>
              <w:rPr>
                <w:rFonts w:ascii="等线" w:hAnsi="等线" w:eastAsia="等线" w:cs="等线"/>
                <w:color w:val="000000"/>
                <w:kern w:val="0"/>
                <w:sz w:val="22"/>
                <w:szCs w:val="22"/>
              </w:rPr>
              <w:t>满意度指标</w:t>
            </w:r>
          </w:p>
        </w:tc>
        <w:tc>
          <w:tcPr>
            <w:tcW w:w="1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等线" w:hAnsi="等线" w:eastAsia="等线" w:cs="等线"/>
                <w:color w:val="000000"/>
                <w:sz w:val="22"/>
                <w:szCs w:val="22"/>
              </w:rPr>
            </w:pPr>
            <w:r>
              <w:rPr>
                <w:rFonts w:ascii="等线" w:hAnsi="等线" w:eastAsia="等线" w:cs="等线"/>
                <w:color w:val="000000"/>
                <w:kern w:val="0"/>
                <w:sz w:val="22"/>
                <w:szCs w:val="22"/>
              </w:rPr>
              <w:t>满意度指标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color w:val="000000"/>
                <w:sz w:val="22"/>
                <w:szCs w:val="22"/>
              </w:rPr>
            </w:pPr>
            <w:r>
              <w:rPr>
                <w:rFonts w:ascii="等线" w:hAnsi="等线" w:eastAsia="等线" w:cs="等线"/>
                <w:color w:val="000000"/>
                <w:kern w:val="0"/>
                <w:sz w:val="22"/>
                <w:szCs w:val="22"/>
              </w:rPr>
              <w:t>学员对教师的满意度</w:t>
            </w:r>
          </w:p>
        </w:tc>
        <w:tc>
          <w:tcPr>
            <w:tcW w:w="2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color w:val="000000"/>
                <w:sz w:val="22"/>
                <w:szCs w:val="22"/>
              </w:rPr>
            </w:pPr>
            <w:r>
              <w:rPr>
                <w:rFonts w:ascii="等线" w:hAnsi="等线" w:eastAsia="等线" w:cs="等线"/>
                <w:color w:val="000000"/>
                <w:kern w:val="0"/>
                <w:sz w:val="22"/>
                <w:szCs w:val="22"/>
              </w:rPr>
              <w:t>&gt;80%</w:t>
            </w:r>
          </w:p>
        </w:tc>
        <w:tc>
          <w:tcPr>
            <w:tcW w:w="13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color w:val="000000"/>
                <w:sz w:val="22"/>
                <w:szCs w:val="22"/>
              </w:rPr>
            </w:pPr>
            <w:r>
              <w:rPr>
                <w:rFonts w:ascii="等线" w:hAnsi="等线" w:eastAsia="等线" w:cs="等线"/>
                <w:color w:val="000000"/>
                <w:kern w:val="0"/>
                <w:sz w:val="22"/>
                <w:szCs w:val="22"/>
              </w:rPr>
              <w:t>98%</w:t>
            </w:r>
          </w:p>
        </w:tc>
      </w:tr>
      <w:tr>
        <w:tblPrEx>
          <w:tblCellMar>
            <w:top w:w="15" w:type="dxa"/>
            <w:left w:w="15" w:type="dxa"/>
            <w:bottom w:w="15" w:type="dxa"/>
            <w:right w:w="15" w:type="dxa"/>
          </w:tblCellMar>
        </w:tblPrEx>
        <w:trPr>
          <w:trHeight w:val="396" w:hRule="atLeast"/>
        </w:trPr>
        <w:tc>
          <w:tcPr>
            <w:tcW w:w="9109" w:type="dxa"/>
            <w:gridSpan w:val="15"/>
            <w:shd w:val="clear" w:color="auto" w:fill="auto"/>
            <w:vAlign w:val="center"/>
          </w:tcPr>
          <w:p>
            <w:pPr>
              <w:widowControl/>
              <w:jc w:val="center"/>
              <w:textAlignment w:val="center"/>
              <w:rPr>
                <w:rFonts w:ascii="宋体" w:hAnsi="宋体" w:cs="宋体"/>
                <w:b/>
                <w:color w:val="000000"/>
                <w:sz w:val="32"/>
                <w:szCs w:val="32"/>
              </w:rPr>
            </w:pPr>
            <w:r>
              <w:rPr>
                <w:rFonts w:hint="eastAsia" w:ascii="宋体" w:hAnsi="宋体" w:cs="宋体"/>
                <w:b/>
                <w:color w:val="000000"/>
                <w:kern w:val="0"/>
                <w:sz w:val="32"/>
                <w:szCs w:val="32"/>
              </w:rPr>
              <w:t>自治区财政项目支出绩效自评表</w:t>
            </w:r>
          </w:p>
        </w:tc>
      </w:tr>
      <w:tr>
        <w:tblPrEx>
          <w:tblCellMar>
            <w:top w:w="15" w:type="dxa"/>
            <w:left w:w="15" w:type="dxa"/>
            <w:bottom w:w="15" w:type="dxa"/>
            <w:right w:w="15" w:type="dxa"/>
          </w:tblCellMar>
        </w:tblPrEx>
        <w:trPr>
          <w:trHeight w:val="313" w:hRule="atLeast"/>
        </w:trPr>
        <w:tc>
          <w:tcPr>
            <w:tcW w:w="9109" w:type="dxa"/>
            <w:gridSpan w:val="15"/>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(2020年度)</w:t>
            </w:r>
          </w:p>
        </w:tc>
      </w:tr>
      <w:tr>
        <w:tblPrEx>
          <w:tblCellMar>
            <w:top w:w="15" w:type="dxa"/>
            <w:left w:w="15" w:type="dxa"/>
            <w:bottom w:w="15" w:type="dxa"/>
            <w:right w:w="15" w:type="dxa"/>
          </w:tblCellMar>
        </w:tblPrEx>
        <w:trPr>
          <w:trHeight w:val="360" w:hRule="atLeast"/>
        </w:trPr>
        <w:tc>
          <w:tcPr>
            <w:tcW w:w="590" w:type="dxa"/>
            <w:shd w:val="clear" w:color="auto" w:fill="auto"/>
            <w:vAlign w:val="center"/>
          </w:tcPr>
          <w:p>
            <w:pPr>
              <w:rPr>
                <w:rFonts w:ascii="Calibri" w:hAnsi="Calibri" w:eastAsia="等线" w:cs="Calibri"/>
                <w:color w:val="000000"/>
                <w:sz w:val="22"/>
                <w:szCs w:val="22"/>
              </w:rPr>
            </w:pPr>
          </w:p>
        </w:tc>
        <w:tc>
          <w:tcPr>
            <w:tcW w:w="382" w:type="dxa"/>
            <w:gridSpan w:val="2"/>
            <w:shd w:val="clear" w:color="auto" w:fill="auto"/>
            <w:vAlign w:val="center"/>
          </w:tcPr>
          <w:p>
            <w:pPr>
              <w:rPr>
                <w:rFonts w:ascii="Calibri" w:hAnsi="Calibri" w:eastAsia="等线" w:cs="Calibri"/>
                <w:color w:val="000000"/>
                <w:sz w:val="22"/>
                <w:szCs w:val="22"/>
              </w:rPr>
            </w:pPr>
          </w:p>
        </w:tc>
        <w:tc>
          <w:tcPr>
            <w:tcW w:w="976" w:type="dxa"/>
            <w:gridSpan w:val="2"/>
            <w:shd w:val="clear" w:color="auto" w:fill="auto"/>
            <w:vAlign w:val="center"/>
          </w:tcPr>
          <w:p>
            <w:pPr>
              <w:rPr>
                <w:rFonts w:ascii="Calibri" w:hAnsi="Calibri" w:eastAsia="等线" w:cs="Calibri"/>
                <w:color w:val="000000"/>
                <w:sz w:val="22"/>
                <w:szCs w:val="22"/>
              </w:rPr>
            </w:pPr>
          </w:p>
        </w:tc>
        <w:tc>
          <w:tcPr>
            <w:tcW w:w="1563" w:type="dxa"/>
            <w:shd w:val="clear" w:color="auto" w:fill="auto"/>
            <w:vAlign w:val="center"/>
          </w:tcPr>
          <w:p>
            <w:pPr>
              <w:rPr>
                <w:rFonts w:ascii="Calibri" w:hAnsi="Calibri" w:eastAsia="等线" w:cs="Calibri"/>
                <w:color w:val="000000"/>
                <w:sz w:val="22"/>
                <w:szCs w:val="22"/>
              </w:rPr>
            </w:pPr>
          </w:p>
        </w:tc>
        <w:tc>
          <w:tcPr>
            <w:tcW w:w="1483" w:type="dxa"/>
            <w:shd w:val="clear" w:color="auto" w:fill="auto"/>
            <w:vAlign w:val="center"/>
          </w:tcPr>
          <w:p>
            <w:pPr>
              <w:rPr>
                <w:rFonts w:ascii="Calibri" w:hAnsi="Calibri" w:eastAsia="等线" w:cs="Calibri"/>
                <w:color w:val="000000"/>
                <w:sz w:val="22"/>
                <w:szCs w:val="22"/>
              </w:rPr>
            </w:pPr>
          </w:p>
        </w:tc>
        <w:tc>
          <w:tcPr>
            <w:tcW w:w="1265" w:type="dxa"/>
            <w:shd w:val="clear" w:color="auto" w:fill="auto"/>
            <w:vAlign w:val="center"/>
          </w:tcPr>
          <w:p>
            <w:pPr>
              <w:rPr>
                <w:rFonts w:ascii="Calibri" w:hAnsi="Calibri" w:eastAsia="等线" w:cs="Calibri"/>
                <w:color w:val="000000"/>
                <w:sz w:val="22"/>
                <w:szCs w:val="22"/>
              </w:rPr>
            </w:pPr>
          </w:p>
        </w:tc>
        <w:tc>
          <w:tcPr>
            <w:tcW w:w="1799" w:type="dxa"/>
            <w:gridSpan w:val="3"/>
            <w:shd w:val="clear" w:color="auto" w:fill="auto"/>
            <w:vAlign w:val="center"/>
          </w:tcPr>
          <w:p>
            <w:pPr>
              <w:rPr>
                <w:rFonts w:ascii="Calibri" w:hAnsi="Calibri" w:eastAsia="等线" w:cs="Calibri"/>
                <w:color w:val="000000"/>
                <w:sz w:val="22"/>
                <w:szCs w:val="22"/>
              </w:rPr>
            </w:pPr>
          </w:p>
        </w:tc>
        <w:tc>
          <w:tcPr>
            <w:tcW w:w="516" w:type="dxa"/>
            <w:gridSpan w:val="2"/>
            <w:shd w:val="clear" w:color="auto" w:fill="auto"/>
            <w:vAlign w:val="bottom"/>
          </w:tcPr>
          <w:p>
            <w:pPr>
              <w:rPr>
                <w:rFonts w:ascii="等线" w:hAnsi="等线" w:eastAsia="等线" w:cs="等线"/>
                <w:color w:val="000000"/>
                <w:sz w:val="22"/>
                <w:szCs w:val="22"/>
              </w:rPr>
            </w:pPr>
          </w:p>
        </w:tc>
        <w:tc>
          <w:tcPr>
            <w:tcW w:w="535" w:type="dxa"/>
            <w:gridSpan w:val="2"/>
            <w:shd w:val="clear" w:color="auto" w:fill="auto"/>
            <w:vAlign w:val="bottom"/>
          </w:tcPr>
          <w:p>
            <w:pPr>
              <w:rPr>
                <w:rFonts w:ascii="等线" w:hAnsi="等线" w:eastAsia="等线" w:cs="等线"/>
                <w:color w:val="000000"/>
                <w:sz w:val="22"/>
                <w:szCs w:val="22"/>
              </w:rPr>
            </w:pPr>
          </w:p>
        </w:tc>
      </w:tr>
      <w:tr>
        <w:tblPrEx>
          <w:tblCellMar>
            <w:top w:w="15" w:type="dxa"/>
            <w:left w:w="15" w:type="dxa"/>
            <w:bottom w:w="15" w:type="dxa"/>
            <w:right w:w="15" w:type="dxa"/>
          </w:tblCellMar>
        </w:tblPrEx>
        <w:trPr>
          <w:trHeight w:val="432" w:hRule="atLeast"/>
        </w:trPr>
        <w:tc>
          <w:tcPr>
            <w:tcW w:w="194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项目名称</w:t>
            </w:r>
          </w:p>
        </w:tc>
        <w:tc>
          <w:tcPr>
            <w:tcW w:w="716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老年大</w:t>
            </w:r>
            <w:r>
              <w:rPr>
                <w:rFonts w:ascii="宋体" w:hAnsi="宋体" w:cs="宋体"/>
                <w:color w:val="000000"/>
                <w:kern w:val="0"/>
                <w:sz w:val="24"/>
              </w:rPr>
              <w:t>学基本公共卫生</w:t>
            </w:r>
          </w:p>
        </w:tc>
      </w:tr>
      <w:tr>
        <w:tblPrEx>
          <w:tblCellMar>
            <w:top w:w="15" w:type="dxa"/>
            <w:left w:w="15" w:type="dxa"/>
            <w:bottom w:w="15" w:type="dxa"/>
            <w:right w:w="15" w:type="dxa"/>
          </w:tblCellMar>
        </w:tblPrEx>
        <w:trPr>
          <w:trHeight w:val="625" w:hRule="atLeast"/>
        </w:trPr>
        <w:tc>
          <w:tcPr>
            <w:tcW w:w="194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预算单位</w:t>
            </w:r>
          </w:p>
        </w:tc>
        <w:tc>
          <w:tcPr>
            <w:tcW w:w="716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新疆维吾尔自治区老年大学</w:t>
            </w:r>
          </w:p>
        </w:tc>
      </w:tr>
      <w:tr>
        <w:tblPrEx>
          <w:tblCellMar>
            <w:top w:w="15" w:type="dxa"/>
            <w:left w:w="15" w:type="dxa"/>
            <w:bottom w:w="15" w:type="dxa"/>
            <w:right w:w="15" w:type="dxa"/>
          </w:tblCellMar>
        </w:tblPrEx>
        <w:trPr>
          <w:trHeight w:val="912" w:hRule="atLeast"/>
        </w:trPr>
        <w:tc>
          <w:tcPr>
            <w:tcW w:w="5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预算执行情况（万元）</w:t>
            </w:r>
          </w:p>
        </w:tc>
        <w:tc>
          <w:tcPr>
            <w:tcW w:w="13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年初预算数</w:t>
            </w:r>
          </w:p>
        </w:tc>
        <w:tc>
          <w:tcPr>
            <w:tcW w:w="30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全年预算数</w:t>
            </w:r>
          </w:p>
        </w:tc>
        <w:tc>
          <w:tcPr>
            <w:tcW w:w="1051" w:type="dxa"/>
            <w:gridSpan w:val="4"/>
            <w:tcBorders>
              <w:top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全年执行数</w:t>
            </w:r>
          </w:p>
        </w:tc>
      </w:tr>
      <w:tr>
        <w:tblPrEx>
          <w:tblCellMar>
            <w:top w:w="15" w:type="dxa"/>
            <w:left w:w="15" w:type="dxa"/>
            <w:bottom w:w="15" w:type="dxa"/>
            <w:right w:w="15" w:type="dxa"/>
          </w:tblCellMar>
        </w:tblPrEx>
        <w:trPr>
          <w:trHeight w:val="540"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135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年度资金总额：</w:t>
            </w:r>
          </w:p>
        </w:tc>
        <w:tc>
          <w:tcPr>
            <w:tcW w:w="304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kern w:val="0"/>
                <w:sz w:val="24"/>
                <w:lang w:val="en-US" w:eastAsia="zh-CN"/>
              </w:rPr>
              <w:t>30</w:t>
            </w:r>
          </w:p>
        </w:tc>
        <w:tc>
          <w:tcPr>
            <w:tcW w:w="3064"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val="en-US" w:eastAsia="zh-CN"/>
              </w:rPr>
              <w:t>30</w:t>
            </w:r>
          </w:p>
        </w:tc>
        <w:tc>
          <w:tcPr>
            <w:tcW w:w="1051" w:type="dxa"/>
            <w:gridSpan w:val="4"/>
            <w:vMerge w:val="restart"/>
            <w:tcBorders>
              <w:top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bookmarkStart w:id="54" w:name="_GoBack"/>
            <w:bookmarkEnd w:id="54"/>
            <w:r>
              <w:rPr>
                <w:rFonts w:hint="eastAsia" w:ascii="宋体" w:hAnsi="宋体" w:cs="宋体"/>
                <w:color w:val="000000"/>
                <w:kern w:val="0"/>
                <w:sz w:val="24"/>
                <w:lang w:val="en-US" w:eastAsia="zh-CN"/>
              </w:rPr>
              <w:t>30</w:t>
            </w:r>
          </w:p>
        </w:tc>
      </w:tr>
      <w:tr>
        <w:tblPrEx>
          <w:tblCellMar>
            <w:top w:w="15" w:type="dxa"/>
            <w:left w:w="15" w:type="dxa"/>
            <w:bottom w:w="15" w:type="dxa"/>
            <w:right w:w="15" w:type="dxa"/>
          </w:tblCellMar>
        </w:tblPrEx>
        <w:trPr>
          <w:trHeight w:val="495"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135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color w:val="000000"/>
                <w:sz w:val="24"/>
              </w:rPr>
            </w:pPr>
          </w:p>
        </w:tc>
        <w:tc>
          <w:tcPr>
            <w:tcW w:w="30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3064"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1051" w:type="dxa"/>
            <w:gridSpan w:val="4"/>
            <w:vMerge w:val="continue"/>
            <w:tcBorders>
              <w:top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r>
      <w:tr>
        <w:tblPrEx>
          <w:tblCellMar>
            <w:top w:w="15" w:type="dxa"/>
            <w:left w:w="15" w:type="dxa"/>
            <w:bottom w:w="15" w:type="dxa"/>
            <w:right w:w="15" w:type="dxa"/>
          </w:tblCellMar>
        </w:tblPrEx>
        <w:trPr>
          <w:trHeight w:val="673"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13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rPr>
              <w:t>其中：当年财政拨款</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val="en-US" w:eastAsia="zh-CN"/>
              </w:rPr>
              <w:t>30</w:t>
            </w:r>
          </w:p>
        </w:tc>
        <w:tc>
          <w:tcPr>
            <w:tcW w:w="30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val="en-US" w:eastAsia="zh-CN"/>
              </w:rPr>
              <w:t>30</w:t>
            </w:r>
          </w:p>
        </w:tc>
        <w:tc>
          <w:tcPr>
            <w:tcW w:w="10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val="en-US" w:eastAsia="zh-CN"/>
              </w:rPr>
              <w:t>30</w:t>
            </w:r>
          </w:p>
        </w:tc>
      </w:tr>
      <w:tr>
        <w:tblPrEx>
          <w:tblCellMar>
            <w:top w:w="15" w:type="dxa"/>
            <w:left w:w="15" w:type="dxa"/>
            <w:bottom w:w="15" w:type="dxa"/>
            <w:right w:w="15" w:type="dxa"/>
          </w:tblCellMar>
        </w:tblPrEx>
        <w:trPr>
          <w:trHeight w:val="432"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13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rPr>
              <w:t>上年结转资金</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0</w:t>
            </w:r>
          </w:p>
        </w:tc>
        <w:tc>
          <w:tcPr>
            <w:tcW w:w="30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0</w:t>
            </w:r>
          </w:p>
        </w:tc>
        <w:tc>
          <w:tcPr>
            <w:tcW w:w="10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0</w:t>
            </w:r>
          </w:p>
        </w:tc>
      </w:tr>
      <w:tr>
        <w:tblPrEx>
          <w:tblCellMar>
            <w:top w:w="15" w:type="dxa"/>
            <w:left w:w="15" w:type="dxa"/>
            <w:bottom w:w="15" w:type="dxa"/>
            <w:right w:w="15" w:type="dxa"/>
          </w:tblCellMar>
        </w:tblPrEx>
        <w:trPr>
          <w:trHeight w:val="432"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13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4"/>
              </w:rPr>
            </w:pPr>
            <w:r>
              <w:rPr>
                <w:rFonts w:hint="eastAsia" w:ascii="宋体" w:hAnsi="宋体" w:cs="宋体"/>
                <w:color w:val="000000"/>
                <w:kern w:val="0"/>
                <w:sz w:val="24"/>
              </w:rPr>
              <w:t>其他资金</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0</w:t>
            </w:r>
          </w:p>
        </w:tc>
        <w:tc>
          <w:tcPr>
            <w:tcW w:w="30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0</w:t>
            </w:r>
          </w:p>
        </w:tc>
        <w:tc>
          <w:tcPr>
            <w:tcW w:w="10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0</w:t>
            </w:r>
          </w:p>
        </w:tc>
      </w:tr>
      <w:tr>
        <w:tblPrEx>
          <w:tblCellMar>
            <w:top w:w="15" w:type="dxa"/>
            <w:left w:w="15" w:type="dxa"/>
            <w:bottom w:w="15" w:type="dxa"/>
            <w:right w:w="15" w:type="dxa"/>
          </w:tblCellMar>
        </w:tblPrEx>
        <w:trPr>
          <w:trHeight w:val="432" w:hRule="atLeast"/>
        </w:trPr>
        <w:tc>
          <w:tcPr>
            <w:tcW w:w="5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年度目标完成情况</w:t>
            </w:r>
          </w:p>
        </w:tc>
        <w:tc>
          <w:tcPr>
            <w:tcW w:w="440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预期目标</w:t>
            </w:r>
          </w:p>
        </w:tc>
        <w:tc>
          <w:tcPr>
            <w:tcW w:w="411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实际完成目标</w:t>
            </w:r>
          </w:p>
        </w:tc>
      </w:tr>
      <w:tr>
        <w:tblPrEx>
          <w:tblCellMar>
            <w:top w:w="15" w:type="dxa"/>
            <w:left w:w="15" w:type="dxa"/>
            <w:bottom w:w="15" w:type="dxa"/>
            <w:right w:w="15" w:type="dxa"/>
          </w:tblCellMar>
        </w:tblPrEx>
        <w:trPr>
          <w:trHeight w:val="540"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4404"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继续贯彻“老有所学，老有所教”的精神，让每一个参加老年大学学习的老年同志能够有一个好的学习环境，对继续推动老年教育事业的发展具有重要意义。</w:t>
            </w:r>
          </w:p>
        </w:tc>
        <w:tc>
          <w:tcPr>
            <w:tcW w:w="4115" w:type="dxa"/>
            <w:gridSpan w:val="8"/>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根据业务所需正常完成经费开支.</w:t>
            </w:r>
          </w:p>
        </w:tc>
      </w:tr>
      <w:tr>
        <w:tblPrEx>
          <w:tblCellMar>
            <w:top w:w="15" w:type="dxa"/>
            <w:left w:w="15" w:type="dxa"/>
            <w:bottom w:w="15" w:type="dxa"/>
            <w:right w:w="15" w:type="dxa"/>
          </w:tblCellMar>
        </w:tblPrEx>
        <w:trPr>
          <w:trHeight w:val="540"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4404"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4115"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r>
      <w:tr>
        <w:tblPrEx>
          <w:tblCellMar>
            <w:top w:w="15" w:type="dxa"/>
            <w:left w:w="15" w:type="dxa"/>
            <w:bottom w:w="15" w:type="dxa"/>
            <w:right w:w="15" w:type="dxa"/>
          </w:tblCellMar>
        </w:tblPrEx>
        <w:trPr>
          <w:trHeight w:val="540" w:hRule="atLeast"/>
        </w:trPr>
        <w:tc>
          <w:tcPr>
            <w:tcW w:w="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4404"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4115"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4"/>
              </w:rPr>
            </w:pPr>
          </w:p>
        </w:tc>
      </w:tr>
      <w:tr>
        <w:tblPrEx>
          <w:tblCellMar>
            <w:top w:w="15" w:type="dxa"/>
            <w:left w:w="15" w:type="dxa"/>
            <w:bottom w:w="15" w:type="dxa"/>
            <w:right w:w="15" w:type="dxa"/>
          </w:tblCellMar>
        </w:tblPrEx>
        <w:trPr>
          <w:trHeight w:val="1357" w:hRule="atLeast"/>
        </w:trPr>
        <w:tc>
          <w:tcPr>
            <w:tcW w:w="590" w:type="dxa"/>
            <w:tcBorders>
              <w:top w:val="single" w:color="000000" w:sz="4" w:space="0"/>
              <w:left w:val="single" w:color="000000" w:sz="4" w:space="0"/>
              <w:right w:val="single" w:color="000000" w:sz="4" w:space="0"/>
            </w:tcBorders>
            <w:shd w:val="clear" w:color="auto" w:fill="auto"/>
            <w:vAlign w:val="center"/>
          </w:tcPr>
          <w:p>
            <w:pPr>
              <w:jc w:val="center"/>
              <w:rPr>
                <w:rFonts w:ascii="宋体" w:hAnsi="宋体" w:cs="宋体"/>
                <w:color w:val="000000"/>
                <w:sz w:val="24"/>
              </w:rPr>
            </w:pPr>
          </w:p>
        </w:tc>
        <w:tc>
          <w:tcPr>
            <w:tcW w:w="382" w:type="dxa"/>
            <w:gridSpan w:val="2"/>
            <w:tcBorders>
              <w:top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一级指标</w:t>
            </w:r>
          </w:p>
        </w:tc>
        <w:tc>
          <w:tcPr>
            <w:tcW w:w="976" w:type="dxa"/>
            <w:gridSpan w:val="2"/>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3046" w:type="dxa"/>
            <w:gridSpan w:val="2"/>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3064" w:type="dxa"/>
            <w:gridSpan w:val="4"/>
            <w:tcBorders>
              <w:top w:val="single" w:color="000000" w:sz="4" w:space="0"/>
              <w:lef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预期指标值（包含数字及文字描述）</w:t>
            </w:r>
          </w:p>
        </w:tc>
        <w:tc>
          <w:tcPr>
            <w:tcW w:w="1051" w:type="dxa"/>
            <w:gridSpan w:val="4"/>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实际完成指标值（包含数字及文字描述）</w:t>
            </w:r>
          </w:p>
        </w:tc>
      </w:tr>
      <w:tr>
        <w:tblPrEx>
          <w:tblCellMar>
            <w:top w:w="15" w:type="dxa"/>
            <w:left w:w="15" w:type="dxa"/>
            <w:bottom w:w="15" w:type="dxa"/>
            <w:right w:w="15" w:type="dxa"/>
          </w:tblCellMar>
        </w:tblPrEx>
        <w:trPr>
          <w:trHeight w:val="553" w:hRule="atLeast"/>
        </w:trPr>
        <w:tc>
          <w:tcPr>
            <w:tcW w:w="590" w:type="dxa"/>
            <w:vMerge w:val="restart"/>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color w:val="000000"/>
                <w:sz w:val="22"/>
                <w:szCs w:val="22"/>
              </w:rPr>
            </w:pPr>
            <w:r>
              <w:rPr>
                <w:rFonts w:ascii="等线" w:hAnsi="等线" w:eastAsia="等线" w:cs="等线"/>
                <w:color w:val="000000"/>
                <w:kern w:val="0"/>
                <w:sz w:val="22"/>
                <w:szCs w:val="22"/>
              </w:rPr>
              <w:t>年度绩效指标完成情况</w:t>
            </w:r>
          </w:p>
        </w:tc>
        <w:tc>
          <w:tcPr>
            <w:tcW w:w="382" w:type="dxa"/>
            <w:gridSpan w:val="2"/>
            <w:vMerge w:val="restart"/>
            <w:tcBorders>
              <w:top w:val="single" w:color="000000" w:sz="4" w:space="0"/>
              <w:bottom w:val="single" w:color="000000" w:sz="4" w:space="0"/>
              <w:right w:val="single" w:color="000000" w:sz="4" w:space="0"/>
            </w:tcBorders>
            <w:shd w:val="clear" w:color="auto" w:fill="auto"/>
            <w:vAlign w:val="center"/>
          </w:tcPr>
          <w:p>
            <w:pPr>
              <w:widowControl/>
              <w:jc w:val="left"/>
              <w:textAlignment w:val="center"/>
              <w:rPr>
                <w:rFonts w:ascii="等线" w:hAnsi="等线" w:eastAsia="等线" w:cs="等线"/>
                <w:color w:val="000000"/>
                <w:sz w:val="22"/>
                <w:szCs w:val="22"/>
              </w:rPr>
            </w:pPr>
            <w:r>
              <w:rPr>
                <w:rFonts w:ascii="等线" w:hAnsi="等线" w:eastAsia="等线" w:cs="等线"/>
                <w:color w:val="000000"/>
                <w:kern w:val="0"/>
                <w:sz w:val="22"/>
                <w:szCs w:val="22"/>
              </w:rPr>
              <w:t>产出指标</w:t>
            </w: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数量指标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协会组织各地州会员单位会议次数</w:t>
            </w:r>
          </w:p>
        </w:tc>
        <w:tc>
          <w:tcPr>
            <w:tcW w:w="3064"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&gt;=1次</w:t>
            </w:r>
          </w:p>
        </w:tc>
        <w:tc>
          <w:tcPr>
            <w:tcW w:w="1051"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6</w:t>
            </w:r>
          </w:p>
        </w:tc>
      </w:tr>
      <w:tr>
        <w:tblPrEx>
          <w:tblCellMar>
            <w:top w:w="15" w:type="dxa"/>
            <w:left w:w="15" w:type="dxa"/>
            <w:bottom w:w="15" w:type="dxa"/>
            <w:right w:w="15" w:type="dxa"/>
          </w:tblCellMar>
        </w:tblPrEx>
        <w:trPr>
          <w:trHeight w:val="55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382" w:type="dxa"/>
            <w:gridSpan w:val="2"/>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数量指标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毕业汇报演出次数</w:t>
            </w:r>
          </w:p>
        </w:tc>
        <w:tc>
          <w:tcPr>
            <w:tcW w:w="3064"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&gt;4次</w:t>
            </w:r>
          </w:p>
        </w:tc>
        <w:tc>
          <w:tcPr>
            <w:tcW w:w="1051"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4</w:t>
            </w:r>
          </w:p>
        </w:tc>
      </w:tr>
      <w:tr>
        <w:tblPrEx>
          <w:tblCellMar>
            <w:top w:w="15" w:type="dxa"/>
            <w:left w:w="15" w:type="dxa"/>
            <w:bottom w:w="15" w:type="dxa"/>
            <w:right w:w="15" w:type="dxa"/>
          </w:tblCellMar>
        </w:tblPrEx>
        <w:trPr>
          <w:trHeight w:val="55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382" w:type="dxa"/>
            <w:gridSpan w:val="2"/>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数量指标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协会参观交流工作人次</w:t>
            </w:r>
          </w:p>
        </w:tc>
        <w:tc>
          <w:tcPr>
            <w:tcW w:w="3064"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&gt;4人次</w:t>
            </w:r>
          </w:p>
        </w:tc>
        <w:tc>
          <w:tcPr>
            <w:tcW w:w="1051"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8</w:t>
            </w:r>
          </w:p>
        </w:tc>
      </w:tr>
      <w:tr>
        <w:tblPrEx>
          <w:tblCellMar>
            <w:top w:w="15" w:type="dxa"/>
            <w:left w:w="15" w:type="dxa"/>
            <w:bottom w:w="15" w:type="dxa"/>
            <w:right w:w="15" w:type="dxa"/>
          </w:tblCellMar>
        </w:tblPrEx>
        <w:trPr>
          <w:trHeight w:val="55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382" w:type="dxa"/>
            <w:gridSpan w:val="2"/>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数量指标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协会内部工作会议次数</w:t>
            </w:r>
          </w:p>
        </w:tc>
        <w:tc>
          <w:tcPr>
            <w:tcW w:w="3064"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&gt;=2次</w:t>
            </w:r>
          </w:p>
        </w:tc>
        <w:tc>
          <w:tcPr>
            <w:tcW w:w="1051"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6</w:t>
            </w:r>
          </w:p>
        </w:tc>
      </w:tr>
      <w:tr>
        <w:tblPrEx>
          <w:tblCellMar>
            <w:top w:w="15" w:type="dxa"/>
            <w:left w:w="15" w:type="dxa"/>
            <w:bottom w:w="15" w:type="dxa"/>
            <w:right w:w="15" w:type="dxa"/>
          </w:tblCellMar>
        </w:tblPrEx>
        <w:trPr>
          <w:trHeight w:val="55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382" w:type="dxa"/>
            <w:gridSpan w:val="2"/>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数量指标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协会会员单位数量</w:t>
            </w:r>
          </w:p>
        </w:tc>
        <w:tc>
          <w:tcPr>
            <w:tcW w:w="3064"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&gt;40个</w:t>
            </w:r>
          </w:p>
        </w:tc>
        <w:tc>
          <w:tcPr>
            <w:tcW w:w="1051"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42</w:t>
            </w:r>
          </w:p>
        </w:tc>
      </w:tr>
      <w:tr>
        <w:tblPrEx>
          <w:tblCellMar>
            <w:top w:w="15" w:type="dxa"/>
            <w:left w:w="15" w:type="dxa"/>
            <w:bottom w:w="15" w:type="dxa"/>
            <w:right w:w="15" w:type="dxa"/>
          </w:tblCellMar>
        </w:tblPrEx>
        <w:trPr>
          <w:trHeight w:val="55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382" w:type="dxa"/>
            <w:gridSpan w:val="2"/>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质量指标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协会工作完成情况</w:t>
            </w:r>
          </w:p>
        </w:tc>
        <w:tc>
          <w:tcPr>
            <w:tcW w:w="3064"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95%以上</w:t>
            </w:r>
          </w:p>
        </w:tc>
        <w:tc>
          <w:tcPr>
            <w:tcW w:w="1051"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100%</w:t>
            </w:r>
          </w:p>
        </w:tc>
      </w:tr>
      <w:tr>
        <w:tblPrEx>
          <w:tblCellMar>
            <w:top w:w="15" w:type="dxa"/>
            <w:left w:w="15" w:type="dxa"/>
            <w:bottom w:w="15" w:type="dxa"/>
            <w:right w:w="15" w:type="dxa"/>
          </w:tblCellMar>
        </w:tblPrEx>
        <w:trPr>
          <w:trHeight w:val="55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382" w:type="dxa"/>
            <w:gridSpan w:val="2"/>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时效指标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年度计划完成时限</w:t>
            </w:r>
          </w:p>
        </w:tc>
        <w:tc>
          <w:tcPr>
            <w:tcW w:w="3064"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&lt;=2020年12月31日</w:t>
            </w:r>
          </w:p>
        </w:tc>
        <w:tc>
          <w:tcPr>
            <w:tcW w:w="1051"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2020年12月</w:t>
            </w:r>
          </w:p>
        </w:tc>
      </w:tr>
      <w:tr>
        <w:tblPrEx>
          <w:tblCellMar>
            <w:top w:w="15" w:type="dxa"/>
            <w:left w:w="15" w:type="dxa"/>
            <w:bottom w:w="15" w:type="dxa"/>
            <w:right w:w="15" w:type="dxa"/>
          </w:tblCellMar>
        </w:tblPrEx>
        <w:trPr>
          <w:trHeight w:val="55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382" w:type="dxa"/>
            <w:gridSpan w:val="2"/>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成本指标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协会项目总成本</w:t>
            </w:r>
          </w:p>
        </w:tc>
        <w:tc>
          <w:tcPr>
            <w:tcW w:w="3064"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30万元</w:t>
            </w:r>
          </w:p>
        </w:tc>
        <w:tc>
          <w:tcPr>
            <w:tcW w:w="1051"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30万元</w:t>
            </w:r>
          </w:p>
        </w:tc>
      </w:tr>
      <w:tr>
        <w:tblPrEx>
          <w:tblCellMar>
            <w:top w:w="15" w:type="dxa"/>
            <w:left w:w="15" w:type="dxa"/>
            <w:bottom w:w="15" w:type="dxa"/>
            <w:right w:w="15" w:type="dxa"/>
          </w:tblCellMar>
        </w:tblPrEx>
        <w:trPr>
          <w:trHeight w:val="55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382" w:type="dxa"/>
            <w:gridSpan w:val="2"/>
            <w:vMerge w:val="restart"/>
            <w:tcBorders>
              <w:top w:val="single" w:color="000000" w:sz="4" w:space="0"/>
              <w:bottom w:val="single" w:color="000000" w:sz="4" w:space="0"/>
              <w:right w:val="single" w:color="000000" w:sz="4" w:space="0"/>
            </w:tcBorders>
            <w:shd w:val="clear" w:color="auto" w:fill="auto"/>
            <w:vAlign w:val="center"/>
          </w:tcPr>
          <w:p>
            <w:pPr>
              <w:widowControl/>
              <w:jc w:val="left"/>
              <w:textAlignment w:val="center"/>
              <w:rPr>
                <w:rFonts w:ascii="等线" w:hAnsi="等线" w:eastAsia="等线" w:cs="等线"/>
                <w:color w:val="000000"/>
                <w:sz w:val="22"/>
                <w:szCs w:val="22"/>
              </w:rPr>
            </w:pPr>
            <w:r>
              <w:rPr>
                <w:rFonts w:ascii="等线" w:hAnsi="等线" w:eastAsia="等线" w:cs="等线"/>
                <w:color w:val="000000"/>
                <w:kern w:val="0"/>
                <w:sz w:val="22"/>
                <w:szCs w:val="22"/>
              </w:rPr>
              <w:t>效益指标</w:t>
            </w: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经济效益指标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等线" w:hAnsi="等线" w:eastAsia="等线" w:cs="等线"/>
                <w:color w:val="000000"/>
                <w:sz w:val="22"/>
                <w:szCs w:val="22"/>
              </w:rPr>
            </w:pPr>
          </w:p>
        </w:tc>
        <w:tc>
          <w:tcPr>
            <w:tcW w:w="3064"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等线" w:hAnsi="等线" w:eastAsia="等线" w:cs="等线"/>
                <w:color w:val="000000"/>
                <w:sz w:val="22"/>
                <w:szCs w:val="22"/>
              </w:rPr>
            </w:pPr>
          </w:p>
        </w:tc>
        <w:tc>
          <w:tcPr>
            <w:tcW w:w="1051"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等线" w:hAnsi="等线" w:eastAsia="等线" w:cs="等线"/>
                <w:color w:val="000000"/>
                <w:sz w:val="22"/>
                <w:szCs w:val="22"/>
              </w:rPr>
            </w:pPr>
          </w:p>
        </w:tc>
      </w:tr>
      <w:tr>
        <w:tblPrEx>
          <w:tblCellMar>
            <w:top w:w="15" w:type="dxa"/>
            <w:left w:w="15" w:type="dxa"/>
            <w:bottom w:w="15" w:type="dxa"/>
            <w:right w:w="15" w:type="dxa"/>
          </w:tblCellMar>
        </w:tblPrEx>
        <w:trPr>
          <w:trHeight w:val="55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382" w:type="dxa"/>
            <w:gridSpan w:val="2"/>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社会效益指标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提高老年教育事业蓬勃发展</w:t>
            </w:r>
          </w:p>
        </w:tc>
        <w:tc>
          <w:tcPr>
            <w:tcW w:w="3064"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不断深化</w:t>
            </w:r>
          </w:p>
        </w:tc>
        <w:tc>
          <w:tcPr>
            <w:tcW w:w="1051"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不断深化</w:t>
            </w:r>
          </w:p>
        </w:tc>
      </w:tr>
      <w:tr>
        <w:tblPrEx>
          <w:tblCellMar>
            <w:top w:w="15" w:type="dxa"/>
            <w:left w:w="15" w:type="dxa"/>
            <w:bottom w:w="15" w:type="dxa"/>
            <w:right w:w="15" w:type="dxa"/>
          </w:tblCellMar>
        </w:tblPrEx>
        <w:trPr>
          <w:trHeight w:val="37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382" w:type="dxa"/>
            <w:gridSpan w:val="2"/>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生态效益指标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等线" w:hAnsi="等线" w:eastAsia="等线" w:cs="等线"/>
                <w:color w:val="000000"/>
                <w:sz w:val="22"/>
                <w:szCs w:val="22"/>
              </w:rPr>
            </w:pPr>
          </w:p>
        </w:tc>
        <w:tc>
          <w:tcPr>
            <w:tcW w:w="3064"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等线" w:hAnsi="等线" w:eastAsia="等线" w:cs="等线"/>
                <w:color w:val="000000"/>
                <w:sz w:val="22"/>
                <w:szCs w:val="22"/>
              </w:rPr>
            </w:pPr>
          </w:p>
        </w:tc>
        <w:tc>
          <w:tcPr>
            <w:tcW w:w="1051"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等线" w:hAnsi="等线" w:eastAsia="等线" w:cs="等线"/>
                <w:color w:val="000000"/>
                <w:sz w:val="22"/>
                <w:szCs w:val="22"/>
              </w:rPr>
            </w:pPr>
          </w:p>
        </w:tc>
      </w:tr>
      <w:tr>
        <w:tblPrEx>
          <w:tblCellMar>
            <w:top w:w="15" w:type="dxa"/>
            <w:left w:w="15" w:type="dxa"/>
            <w:bottom w:w="15" w:type="dxa"/>
            <w:right w:w="15" w:type="dxa"/>
          </w:tblCellMar>
        </w:tblPrEx>
        <w:trPr>
          <w:trHeight w:val="373"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382" w:type="dxa"/>
            <w:gridSpan w:val="2"/>
            <w:vMerge w:val="continue"/>
            <w:tcBorders>
              <w:top w:val="single" w:color="000000" w:sz="4" w:space="0"/>
              <w:bottom w:val="single" w:color="000000" w:sz="4" w:space="0"/>
              <w:right w:val="single" w:color="000000" w:sz="4" w:space="0"/>
            </w:tcBorders>
            <w:shd w:val="clear" w:color="auto" w:fill="auto"/>
            <w:vAlign w:val="center"/>
          </w:tcPr>
          <w:p>
            <w:pPr>
              <w:rPr>
                <w:rFonts w:ascii="等线" w:hAnsi="等线" w:eastAsia="等线" w:cs="等线"/>
                <w:color w:val="000000"/>
                <w:sz w:val="22"/>
                <w:szCs w:val="22"/>
              </w:rPr>
            </w:pP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等线" w:hAnsi="等线" w:eastAsia="等线" w:cs="等线"/>
                <w:color w:val="000000"/>
                <w:sz w:val="22"/>
                <w:szCs w:val="22"/>
              </w:rPr>
            </w:pPr>
            <w:r>
              <w:rPr>
                <w:rFonts w:ascii="等线" w:hAnsi="等线" w:eastAsia="等线" w:cs="等线"/>
                <w:color w:val="000000"/>
                <w:kern w:val="0"/>
                <w:sz w:val="22"/>
                <w:szCs w:val="22"/>
              </w:rPr>
              <w:t>可持续影响指标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等线" w:hAnsi="等线" w:eastAsia="等线" w:cs="等线"/>
                <w:color w:val="000000"/>
                <w:sz w:val="22"/>
                <w:szCs w:val="22"/>
              </w:rPr>
            </w:pPr>
          </w:p>
        </w:tc>
        <w:tc>
          <w:tcPr>
            <w:tcW w:w="3064"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等线" w:hAnsi="等线" w:eastAsia="等线" w:cs="等线"/>
                <w:color w:val="000000"/>
                <w:sz w:val="22"/>
                <w:szCs w:val="22"/>
              </w:rPr>
            </w:pPr>
          </w:p>
        </w:tc>
        <w:tc>
          <w:tcPr>
            <w:tcW w:w="1051" w:type="dxa"/>
            <w:gridSpan w:val="4"/>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等线" w:hAnsi="等线" w:eastAsia="等线" w:cs="等线"/>
                <w:color w:val="000000"/>
                <w:sz w:val="22"/>
                <w:szCs w:val="22"/>
              </w:rPr>
            </w:pPr>
          </w:p>
        </w:tc>
      </w:tr>
      <w:tr>
        <w:tblPrEx>
          <w:tblCellMar>
            <w:top w:w="15" w:type="dxa"/>
            <w:left w:w="15" w:type="dxa"/>
            <w:bottom w:w="15" w:type="dxa"/>
            <w:right w:w="15" w:type="dxa"/>
          </w:tblCellMar>
        </w:tblPrEx>
        <w:trPr>
          <w:trHeight w:val="1237" w:hRule="atLeast"/>
        </w:trPr>
        <w:tc>
          <w:tcPr>
            <w:tcW w:w="59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等线" w:hAnsi="等线" w:eastAsia="等线" w:cs="等线"/>
                <w:color w:val="000000"/>
                <w:sz w:val="22"/>
                <w:szCs w:val="22"/>
              </w:rPr>
            </w:pPr>
          </w:p>
        </w:tc>
        <w:tc>
          <w:tcPr>
            <w:tcW w:w="382" w:type="dxa"/>
            <w:gridSpan w:val="2"/>
            <w:tcBorders>
              <w:top w:val="single" w:color="000000" w:sz="4" w:space="0"/>
              <w:bottom w:val="single" w:color="000000" w:sz="4" w:space="0"/>
              <w:right w:val="single" w:color="000000" w:sz="4" w:space="0"/>
            </w:tcBorders>
            <w:shd w:val="clear" w:color="auto" w:fill="auto"/>
            <w:vAlign w:val="center"/>
          </w:tcPr>
          <w:p>
            <w:pPr>
              <w:widowControl/>
              <w:jc w:val="left"/>
              <w:textAlignment w:val="center"/>
              <w:rPr>
                <w:rFonts w:ascii="等线" w:hAnsi="等线" w:eastAsia="等线" w:cs="等线"/>
                <w:color w:val="000000"/>
                <w:sz w:val="22"/>
                <w:szCs w:val="22"/>
              </w:rPr>
            </w:pPr>
            <w:r>
              <w:rPr>
                <w:rFonts w:ascii="等线" w:hAnsi="等线" w:eastAsia="等线" w:cs="等线"/>
                <w:color w:val="000000"/>
                <w:kern w:val="0"/>
                <w:sz w:val="22"/>
                <w:szCs w:val="22"/>
              </w:rPr>
              <w:t>满意度指标</w:t>
            </w:r>
          </w:p>
        </w:tc>
        <w:tc>
          <w:tcPr>
            <w:tcW w:w="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等线" w:hAnsi="等线" w:eastAsia="等线" w:cs="等线"/>
                <w:color w:val="000000"/>
                <w:sz w:val="22"/>
                <w:szCs w:val="22"/>
              </w:rPr>
            </w:pPr>
            <w:r>
              <w:rPr>
                <w:rFonts w:ascii="等线" w:hAnsi="等线" w:eastAsia="等线" w:cs="等线"/>
                <w:color w:val="000000"/>
                <w:kern w:val="0"/>
                <w:sz w:val="22"/>
                <w:szCs w:val="22"/>
              </w:rPr>
              <w:t>满意度指标</w:t>
            </w:r>
          </w:p>
        </w:tc>
        <w:tc>
          <w:tcPr>
            <w:tcW w:w="304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 w:val="22"/>
                <w:szCs w:val="22"/>
              </w:rPr>
            </w:pPr>
            <w:r>
              <w:rPr>
                <w:rFonts w:ascii="等线" w:hAnsi="等线" w:eastAsia="等线" w:cs="等线"/>
                <w:color w:val="000000"/>
                <w:kern w:val="0"/>
                <w:sz w:val="22"/>
                <w:szCs w:val="22"/>
              </w:rPr>
              <w:t>各地州老年大学协会对新疆老年大学协会工作满意度</w:t>
            </w:r>
          </w:p>
        </w:tc>
        <w:tc>
          <w:tcPr>
            <w:tcW w:w="30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color w:val="000000"/>
                <w:sz w:val="22"/>
                <w:szCs w:val="22"/>
              </w:rPr>
            </w:pPr>
            <w:r>
              <w:rPr>
                <w:rFonts w:ascii="等线" w:hAnsi="等线" w:eastAsia="等线" w:cs="等线"/>
                <w:color w:val="000000"/>
                <w:kern w:val="0"/>
                <w:sz w:val="22"/>
                <w:szCs w:val="22"/>
              </w:rPr>
              <w:t>&gt;80%</w:t>
            </w:r>
          </w:p>
        </w:tc>
        <w:tc>
          <w:tcPr>
            <w:tcW w:w="10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等线" w:hAnsi="等线" w:eastAsia="等线" w:cs="等线"/>
                <w:color w:val="000000"/>
                <w:sz w:val="22"/>
                <w:szCs w:val="22"/>
              </w:rPr>
            </w:pPr>
            <w:r>
              <w:rPr>
                <w:rFonts w:ascii="等线" w:hAnsi="等线" w:eastAsia="等线" w:cs="等线"/>
                <w:color w:val="000000"/>
                <w:kern w:val="0"/>
                <w:sz w:val="22"/>
                <w:szCs w:val="22"/>
              </w:rPr>
              <w:t>98%</w:t>
            </w:r>
          </w:p>
        </w:tc>
      </w:tr>
    </w:tbl>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28786"/>
      <w:bookmarkStart w:id="45" w:name="_Toc14238"/>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826665B-4BA2-4018-8706-E478B2ED305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2C5332E-5C0B-45F8-ACE9-8BCE94956AC1}"/>
  </w:font>
  <w:font w:name="方正小标宋_GBK">
    <w:panose1 w:val="02000000000000000000"/>
    <w:charset w:val="86"/>
    <w:family w:val="script"/>
    <w:pitch w:val="default"/>
    <w:sig w:usb0="A00002BF" w:usb1="38CF7CFA" w:usb2="00082016" w:usb3="00000000" w:csb0="00040001" w:csb1="00000000"/>
    <w:embedRegular r:id="rId3" w:fontKey="{0D698E0C-1ECC-418E-9444-0BAC5CBA07B8}"/>
  </w:font>
  <w:font w:name="仿宋_GB2312">
    <w:panose1 w:val="02010609030101010101"/>
    <w:charset w:val="86"/>
    <w:family w:val="modern"/>
    <w:pitch w:val="default"/>
    <w:sig w:usb0="00000001" w:usb1="080E0000" w:usb2="00000000" w:usb3="00000000" w:csb0="00040000" w:csb1="00000000"/>
    <w:embedRegular r:id="rId4" w:fontKey="{18B429AA-6B43-45C8-A24F-AC11B86531F6}"/>
  </w:font>
  <w:font w:name="仿宋">
    <w:panose1 w:val="02010609060101010101"/>
    <w:charset w:val="86"/>
    <w:family w:val="auto"/>
    <w:pitch w:val="default"/>
    <w:sig w:usb0="800002BF" w:usb1="38CF7CFA" w:usb2="00000016" w:usb3="00000000" w:csb0="00040001" w:csb1="00000000"/>
    <w:embedRegular r:id="rId5" w:fontKey="{85AD42A5-28EA-4317-9954-FB97221ED395}"/>
  </w:font>
  <w:font w:name="等线">
    <w:panose1 w:val="02010600030101010101"/>
    <w:charset w:val="86"/>
    <w:family w:val="auto"/>
    <w:pitch w:val="default"/>
    <w:sig w:usb0="A00002BF" w:usb1="38CF7CFA" w:usb2="00000016" w:usb3="00000000" w:csb0="0004000F" w:csb1="00000000"/>
    <w:embedRegular r:id="rId6" w:fontKey="{210B08D2-F0A0-41AB-A1C8-4F76769C0BA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JYnrPJAQAAk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5EXhrfHSO0zt9Rs7DBxoKfK6qaxSrPwd55PPfxK2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Alies8kBAACSAwAADgAAAAAAAAABACAAAAAfAQAAZHJzL2Uyb0Rv&#10;Yy54bWxQSwUGAAAAAAYABgBZAQAAW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E15"/>
    <w:rsid w:val="00020503"/>
    <w:rsid w:val="00071F78"/>
    <w:rsid w:val="000E354B"/>
    <w:rsid w:val="001F36B1"/>
    <w:rsid w:val="002C1E15"/>
    <w:rsid w:val="00445E41"/>
    <w:rsid w:val="004E36F5"/>
    <w:rsid w:val="005028BC"/>
    <w:rsid w:val="00587E1A"/>
    <w:rsid w:val="006319C5"/>
    <w:rsid w:val="00684965"/>
    <w:rsid w:val="006931F9"/>
    <w:rsid w:val="00870133"/>
    <w:rsid w:val="00893293"/>
    <w:rsid w:val="00910B76"/>
    <w:rsid w:val="00990EC3"/>
    <w:rsid w:val="00A7399E"/>
    <w:rsid w:val="00AB6D9B"/>
    <w:rsid w:val="00C71461"/>
    <w:rsid w:val="00CE0754"/>
    <w:rsid w:val="00E2721C"/>
    <w:rsid w:val="00F43628"/>
    <w:rsid w:val="047500E0"/>
    <w:rsid w:val="05383505"/>
    <w:rsid w:val="0B472137"/>
    <w:rsid w:val="114809B7"/>
    <w:rsid w:val="14877FF9"/>
    <w:rsid w:val="14BE1E0E"/>
    <w:rsid w:val="177C28DA"/>
    <w:rsid w:val="1AF904D4"/>
    <w:rsid w:val="1CC5448C"/>
    <w:rsid w:val="1FBC361E"/>
    <w:rsid w:val="208F215E"/>
    <w:rsid w:val="2CB20A92"/>
    <w:rsid w:val="2FA36C04"/>
    <w:rsid w:val="3BFC64A2"/>
    <w:rsid w:val="407C4E55"/>
    <w:rsid w:val="45057163"/>
    <w:rsid w:val="46F449E3"/>
    <w:rsid w:val="596F7721"/>
    <w:rsid w:val="5D990670"/>
    <w:rsid w:val="60AE3960"/>
    <w:rsid w:val="63981CCF"/>
    <w:rsid w:val="65D379C4"/>
    <w:rsid w:val="67323DE2"/>
    <w:rsid w:val="6A8018E3"/>
    <w:rsid w:val="6E461F09"/>
    <w:rsid w:val="703025A8"/>
    <w:rsid w:val="74A569D0"/>
    <w:rsid w:val="78E90790"/>
    <w:rsid w:val="793547C6"/>
    <w:rsid w:val="7B6E5D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character" w:styleId="10">
    <w:name w:val="Strong"/>
    <w:basedOn w:val="9"/>
    <w:qFormat/>
    <w:uiPriority w:val="0"/>
    <w:rPr>
      <w:b/>
      <w:bCs/>
    </w:rPr>
  </w:style>
  <w:style w:type="paragraph" w:customStyle="1" w:styleId="11">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3">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5857</Words>
  <Characters>6573</Characters>
  <Lines>18</Lines>
  <Paragraphs>15</Paragraphs>
  <TotalTime>1</TotalTime>
  <ScaleCrop>false</ScaleCrop>
  <LinksUpToDate>false</LinksUpToDate>
  <CharactersWithSpaces>6590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GXR</dc:creator>
  <cp:lastModifiedBy>薛俊璇</cp:lastModifiedBy>
  <dcterms:modified xsi:type="dcterms:W3CDTF">2022-04-30T07:12:30Z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DE882DF17B254ED0BA158674C51228DA</vt:lpwstr>
  </property>
</Properties>
</file>