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黑体" w:hAnsi="黑体" w:eastAsia="黑体"/>
          <w:sz w:val="32"/>
          <w:szCs w:val="32"/>
        </w:rPr>
      </w:pPr>
      <w:r>
        <w:rPr>
          <w:rFonts w:hint="eastAsia" w:ascii="黑体" w:hAnsi="黑体" w:eastAsia="黑体"/>
          <w:sz w:val="32"/>
          <w:szCs w:val="32"/>
        </w:rPr>
        <w:t>附件：</w:t>
      </w: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r>
        <w:rPr>
          <w:rFonts w:hint="eastAsia" w:ascii="方正小标宋_GBK" w:hAnsi="宋体" w:eastAsia="方正小标宋_GBK"/>
          <w:sz w:val="44"/>
          <w:szCs w:val="44"/>
        </w:rPr>
        <w:t>新疆维吾尔自治区第一济困医院</w:t>
      </w:r>
    </w:p>
    <w:p>
      <w:pPr>
        <w:jc w:val="center"/>
        <w:rPr>
          <w:rFonts w:ascii="方正小标宋_GBK" w:hAnsi="宋体" w:eastAsia="方正小标宋_GBK"/>
          <w:sz w:val="44"/>
          <w:szCs w:val="44"/>
        </w:rPr>
      </w:pPr>
      <w:r>
        <w:rPr>
          <w:rFonts w:hint="eastAsia" w:ascii="方正小标宋_GBK" w:hAnsi="宋体" w:eastAsia="方正小标宋_GBK"/>
          <w:sz w:val="44"/>
          <w:szCs w:val="44"/>
        </w:rPr>
        <w:t>2020年度部门决算公开说明</w:t>
      </w:r>
    </w:p>
    <w:p>
      <w:pPr>
        <w:pStyle w:val="2"/>
        <w:spacing w:before="4"/>
        <w:ind w:left="0"/>
        <w:rPr>
          <w:rFonts w:ascii="Times New Roman"/>
          <w:sz w:val="44"/>
          <w:szCs w:val="44"/>
        </w:rPr>
        <w:sectPr>
          <w:type w:val="continuous"/>
          <w:pgSz w:w="11900" w:h="16840"/>
          <w:pgMar w:top="1600" w:right="1680" w:bottom="280" w:left="1680" w:header="720" w:footer="720" w:gutter="0"/>
          <w:cols w:space="720" w:num="1"/>
        </w:sectPr>
      </w:pPr>
      <w:r>
        <w:rPr>
          <w:rFonts w:hint="eastAsia" w:ascii="方正小标宋_GBK" w:hAnsi="宋体" w:eastAsia="方正小标宋_GBK"/>
          <w:sz w:val="44"/>
          <w:szCs w:val="44"/>
        </w:rPr>
        <w:br w:type="page"/>
      </w:r>
    </w:p>
    <w:p>
      <w:pPr>
        <w:pStyle w:val="2"/>
        <w:ind w:left="0"/>
        <w:rPr>
          <w:rFonts w:ascii="Times New Roman"/>
          <w:sz w:val="16"/>
        </w:rPr>
      </w:pPr>
    </w:p>
    <w:p>
      <w:pPr>
        <w:tabs>
          <w:tab w:val="left" w:pos="722"/>
        </w:tabs>
        <w:spacing w:before="50"/>
        <w:ind w:right="457"/>
        <w:jc w:val="center"/>
        <w:rPr>
          <w:b/>
          <w:sz w:val="36"/>
        </w:rPr>
      </w:pPr>
      <w:r>
        <w:rPr>
          <w:b/>
          <w:sz w:val="36"/>
        </w:rPr>
        <w:t>目</w:t>
      </w:r>
      <w:r>
        <w:rPr>
          <w:b/>
          <w:sz w:val="36"/>
        </w:rPr>
        <w:tab/>
      </w:r>
      <w:r>
        <w:rPr>
          <w:b/>
          <w:sz w:val="36"/>
        </w:rPr>
        <w:t>录</w:t>
      </w:r>
    </w:p>
    <w:p>
      <w:pPr>
        <w:pStyle w:val="2"/>
        <w:ind w:left="0"/>
        <w:rPr>
          <w:b/>
          <w:sz w:val="20"/>
        </w:rPr>
      </w:pPr>
    </w:p>
    <w:p>
      <w:pPr>
        <w:pStyle w:val="2"/>
        <w:spacing w:afterLines="100"/>
        <w:ind w:left="0"/>
        <w:rPr>
          <w:b/>
          <w:sz w:val="27"/>
        </w:rPr>
      </w:pPr>
    </w:p>
    <w:p>
      <w:pPr>
        <w:pStyle w:val="9"/>
        <w:spacing w:afterLines="100"/>
        <w:ind w:left="0" w:firstLine="662" w:firstLineChars="206"/>
        <w:rPr>
          <w:sz w:val="33"/>
        </w:rPr>
      </w:pPr>
      <w:r>
        <w:fldChar w:fldCharType="begin"/>
      </w:r>
      <w:r>
        <w:instrText xml:space="preserve"> HYPERLINK \l "_bookmark0" </w:instrText>
      </w:r>
      <w:r>
        <w:fldChar w:fldCharType="separate"/>
      </w:r>
      <w:r>
        <w:t>第一部分 部门单位概况</w:t>
      </w:r>
      <w:r>
        <w:fldChar w:fldCharType="end"/>
      </w:r>
    </w:p>
    <w:p>
      <w:pPr>
        <w:pStyle w:val="2"/>
        <w:spacing w:afterLines="100"/>
        <w:ind w:left="0" w:firstLine="659" w:firstLineChars="206"/>
      </w:pPr>
      <w:r>
        <w:fldChar w:fldCharType="begin"/>
      </w:r>
      <w:r>
        <w:instrText xml:space="preserve"> HYPERLINK \l "_bookmark1" </w:instrText>
      </w:r>
      <w:r>
        <w:fldChar w:fldCharType="separate"/>
      </w:r>
      <w:r>
        <w:t>一、主要职能</w:t>
      </w:r>
      <w:r>
        <w:fldChar w:fldCharType="end"/>
      </w:r>
    </w:p>
    <w:p>
      <w:pPr>
        <w:pStyle w:val="2"/>
        <w:spacing w:afterLines="100"/>
        <w:ind w:left="0" w:firstLine="659" w:firstLineChars="206"/>
        <w:rPr>
          <w:sz w:val="22"/>
        </w:rPr>
      </w:pPr>
      <w:r>
        <w:fldChar w:fldCharType="begin"/>
      </w:r>
      <w:r>
        <w:instrText xml:space="preserve"> HYPERLINK \l "_bookmark2" </w:instrText>
      </w:r>
      <w:r>
        <w:fldChar w:fldCharType="separate"/>
      </w:r>
      <w:r>
        <w:t>二、机构设置及人员情况</w:t>
      </w:r>
      <w:r>
        <w:fldChar w:fldCharType="end"/>
      </w:r>
    </w:p>
    <w:p>
      <w:pPr>
        <w:pStyle w:val="9"/>
        <w:spacing w:afterLines="100"/>
        <w:ind w:left="0" w:firstLine="662" w:firstLineChars="206"/>
        <w:rPr>
          <w:sz w:val="33"/>
        </w:rPr>
      </w:pPr>
      <w:r>
        <w:fldChar w:fldCharType="begin"/>
      </w:r>
      <w:r>
        <w:instrText xml:space="preserve"> HYPERLINK \l "_bookmark3" </w:instrText>
      </w:r>
      <w:r>
        <w:fldChar w:fldCharType="separate"/>
      </w:r>
      <w:r>
        <w:t>第二部分 部门决算情况说明</w:t>
      </w:r>
      <w:r>
        <w:fldChar w:fldCharType="end"/>
      </w:r>
    </w:p>
    <w:p>
      <w:pPr>
        <w:pStyle w:val="2"/>
        <w:spacing w:afterLines="100"/>
        <w:ind w:left="0" w:right="-10" w:firstLine="659" w:firstLineChars="206"/>
        <w:rPr>
          <w:spacing w:val="-1"/>
        </w:rPr>
      </w:pPr>
      <w:r>
        <w:fldChar w:fldCharType="begin"/>
      </w:r>
      <w:r>
        <w:instrText xml:space="preserve"> HYPERLINK \l "_bookmark4" </w:instrText>
      </w:r>
      <w:r>
        <w:fldChar w:fldCharType="separate"/>
      </w:r>
      <w:r>
        <w:rPr>
          <w:spacing w:val="-1"/>
        </w:rPr>
        <w:t>一、收入支出决算总体情况说明</w:t>
      </w:r>
      <w:r>
        <w:rPr>
          <w:spacing w:val="-1"/>
        </w:rPr>
        <w:fldChar w:fldCharType="end"/>
      </w:r>
    </w:p>
    <w:p>
      <w:pPr>
        <w:pStyle w:val="2"/>
        <w:spacing w:afterLines="100"/>
        <w:ind w:left="0" w:right="-10" w:firstLine="659" w:firstLineChars="206"/>
      </w:pPr>
      <w:r>
        <w:fldChar w:fldCharType="begin"/>
      </w:r>
      <w:r>
        <w:instrText xml:space="preserve"> HYPERLINK \l "_bookmark5" </w:instrText>
      </w:r>
      <w:r>
        <w:fldChar w:fldCharType="separate"/>
      </w:r>
      <w:r>
        <w:t>二、收入决算情况说明</w:t>
      </w:r>
      <w:r>
        <w:fldChar w:fldCharType="end"/>
      </w:r>
    </w:p>
    <w:p>
      <w:pPr>
        <w:pStyle w:val="2"/>
        <w:spacing w:afterLines="100"/>
        <w:ind w:left="0" w:firstLine="659" w:firstLineChars="206"/>
      </w:pPr>
      <w:r>
        <w:fldChar w:fldCharType="begin"/>
      </w:r>
      <w:r>
        <w:instrText xml:space="preserve"> HYPERLINK \l "_bookmark6" </w:instrText>
      </w:r>
      <w:r>
        <w:fldChar w:fldCharType="separate"/>
      </w:r>
      <w:r>
        <w:rPr>
          <w:w w:val="95"/>
        </w:rPr>
        <w:t>三、支出决算情况说明</w:t>
      </w:r>
      <w:r>
        <w:rPr>
          <w:w w:val="95"/>
        </w:rPr>
        <w:fldChar w:fldCharType="end"/>
      </w:r>
    </w:p>
    <w:p>
      <w:pPr>
        <w:pStyle w:val="2"/>
        <w:spacing w:afterLines="100"/>
        <w:ind w:left="0" w:firstLine="659" w:firstLineChars="206"/>
      </w:pPr>
      <w:r>
        <w:fldChar w:fldCharType="begin"/>
      </w:r>
      <w:r>
        <w:instrText xml:space="preserve"> HYPERLINK \l "_bookmark7" </w:instrText>
      </w:r>
      <w:r>
        <w:fldChar w:fldCharType="separate"/>
      </w:r>
      <w:r>
        <w:t>四、财政拨款收入支出决算总体情况说明</w:t>
      </w:r>
      <w:r>
        <w:fldChar w:fldCharType="end"/>
      </w:r>
    </w:p>
    <w:p>
      <w:pPr>
        <w:pStyle w:val="2"/>
        <w:spacing w:afterLines="100"/>
        <w:ind w:left="0" w:firstLine="659" w:firstLineChars="206"/>
      </w:pPr>
      <w:r>
        <w:fldChar w:fldCharType="begin"/>
      </w:r>
      <w:r>
        <w:instrText xml:space="preserve"> HYPERLINK \l "_bookmark8" </w:instrText>
      </w:r>
      <w:r>
        <w:fldChar w:fldCharType="separate"/>
      </w:r>
      <w:r>
        <w:t>五、一般公共预算财政拨款支出决算情况说明</w:t>
      </w:r>
      <w:r>
        <w:fldChar w:fldCharType="end"/>
      </w:r>
    </w:p>
    <w:p>
      <w:pPr>
        <w:pStyle w:val="2"/>
        <w:spacing w:afterLines="100"/>
        <w:ind w:left="0" w:firstLine="659" w:firstLineChars="206"/>
      </w:pPr>
      <w:r>
        <w:fldChar w:fldCharType="begin"/>
      </w:r>
      <w:r>
        <w:instrText xml:space="preserve"> HYPERLINK \l "_bookmark9" </w:instrText>
      </w:r>
      <w:r>
        <w:fldChar w:fldCharType="separate"/>
      </w:r>
      <w:r>
        <w:t>六、一般公共预算财政拨款基本支出决算情况说明</w:t>
      </w:r>
      <w:r>
        <w:fldChar w:fldCharType="end"/>
      </w:r>
    </w:p>
    <w:p>
      <w:pPr>
        <w:pStyle w:val="2"/>
        <w:spacing w:afterLines="100"/>
        <w:ind w:left="0" w:right="-10" w:firstLine="659" w:firstLineChars="206"/>
        <w:rPr>
          <w:w w:val="95"/>
        </w:rPr>
      </w:pPr>
      <w:r>
        <w:fldChar w:fldCharType="begin"/>
      </w:r>
      <w:r>
        <w:instrText xml:space="preserve"> HYPERLINK \l "_bookmark10" </w:instrText>
      </w:r>
      <w:r>
        <w:fldChar w:fldCharType="separate"/>
      </w:r>
      <w:r>
        <w:rPr>
          <w:w w:val="95"/>
        </w:rPr>
        <w:t>七、一般公共预算财政拨款“三公”经费支出决算情况说明</w:t>
      </w:r>
    </w:p>
    <w:p>
      <w:pPr>
        <w:pStyle w:val="2"/>
        <w:spacing w:afterLines="100"/>
        <w:ind w:left="0" w:right="-10" w:firstLine="626" w:firstLineChars="206"/>
      </w:pPr>
      <w:r>
        <w:rPr>
          <w:w w:val="95"/>
        </w:rPr>
        <w:fldChar w:fldCharType="end"/>
      </w:r>
      <w:r>
        <w:fldChar w:fldCharType="begin"/>
      </w:r>
      <w:r>
        <w:instrText xml:space="preserve"> HYPERLINK \l "_bookmark11" </w:instrText>
      </w:r>
      <w:r>
        <w:fldChar w:fldCharType="separate"/>
      </w:r>
      <w:r>
        <w:t>八、政府性基金预算财政拨款收入支出决算情况说明</w:t>
      </w:r>
      <w:r>
        <w:fldChar w:fldCharType="end"/>
      </w:r>
    </w:p>
    <w:p>
      <w:pPr>
        <w:pStyle w:val="2"/>
        <w:spacing w:afterLines="100"/>
        <w:ind w:left="0" w:right="-10" w:firstLine="659" w:firstLineChars="206"/>
      </w:pPr>
      <w:r>
        <w:fldChar w:fldCharType="begin"/>
      </w:r>
      <w:r>
        <w:instrText xml:space="preserve"> HYPERLINK \l "_bookmark11" </w:instrText>
      </w:r>
      <w:r>
        <w:fldChar w:fldCharType="separate"/>
      </w:r>
      <w:r>
        <w:t>九、国有资本经营预算财政拨款收入支出决算情况说明</w:t>
      </w:r>
      <w:r>
        <w:fldChar w:fldCharType="end"/>
      </w:r>
    </w:p>
    <w:p>
      <w:pPr>
        <w:pStyle w:val="2"/>
        <w:spacing w:afterLines="100"/>
        <w:ind w:left="0" w:right="-10" w:firstLine="659" w:firstLineChars="206"/>
      </w:pPr>
      <w:r>
        <w:fldChar w:fldCharType="begin"/>
      </w:r>
      <w:r>
        <w:instrText xml:space="preserve"> HYPERLINK \l "_bookmark12" </w:instrText>
      </w:r>
      <w:r>
        <w:fldChar w:fldCharType="separate"/>
      </w:r>
      <w:r>
        <w:t>十、其他重要事项的情况说明</w:t>
      </w:r>
      <w:r>
        <w:fldChar w:fldCharType="end"/>
      </w:r>
    </w:p>
    <w:p>
      <w:pPr>
        <w:autoSpaceDE/>
        <w:autoSpaceDN/>
        <w:spacing w:line="360" w:lineRule="auto"/>
        <w:ind w:firstLine="640" w:firstLineChars="200"/>
        <w:jc w:val="both"/>
        <w:outlineLvl w:val="2"/>
        <w:rPr>
          <w:sz w:val="32"/>
          <w:szCs w:val="32"/>
        </w:rPr>
      </w:pPr>
      <w:r>
        <w:rPr>
          <w:rFonts w:hint="eastAsia"/>
          <w:sz w:val="32"/>
          <w:szCs w:val="32"/>
        </w:rPr>
        <w:t>（一）机关运行经费支出情况</w:t>
      </w:r>
    </w:p>
    <w:p>
      <w:pPr>
        <w:pStyle w:val="2"/>
        <w:spacing w:afterLines="100"/>
        <w:ind w:left="0" w:firstLine="659" w:firstLineChars="206"/>
      </w:pPr>
      <w:r>
        <w:fldChar w:fldCharType="begin"/>
      </w:r>
      <w:r>
        <w:instrText xml:space="preserve"> HYPERLINK \l "_bookmark13" </w:instrText>
      </w:r>
      <w:r>
        <w:fldChar w:fldCharType="separate"/>
      </w:r>
      <w:r>
        <w:t>（</w:t>
      </w:r>
      <w:r>
        <w:rPr>
          <w:rFonts w:hint="eastAsia"/>
        </w:rPr>
        <w:t>二</w:t>
      </w:r>
      <w:r>
        <w:t>）政府采购情况</w:t>
      </w:r>
      <w:r>
        <w:fldChar w:fldCharType="end"/>
      </w:r>
    </w:p>
    <w:p>
      <w:pPr>
        <w:pStyle w:val="2"/>
        <w:spacing w:afterLines="100"/>
        <w:ind w:left="0" w:right="-10" w:firstLine="659" w:firstLineChars="206"/>
      </w:pPr>
      <w:r>
        <w:fldChar w:fldCharType="begin"/>
      </w:r>
      <w:r>
        <w:instrText xml:space="preserve"> HYPERLINK \l "_bookmark14" </w:instrText>
      </w:r>
      <w:r>
        <w:fldChar w:fldCharType="separate"/>
      </w:r>
      <w:r>
        <w:t>（</w:t>
      </w:r>
      <w:r>
        <w:rPr>
          <w:rFonts w:hint="eastAsia"/>
        </w:rPr>
        <w:t>三</w:t>
      </w:r>
      <w:r>
        <w:t>）</w:t>
      </w:r>
      <w:r>
        <w:fldChar w:fldCharType="end"/>
      </w:r>
      <w:r>
        <w:t>国有资产占用情况说明</w:t>
      </w:r>
    </w:p>
    <w:p>
      <w:pPr>
        <w:pStyle w:val="2"/>
        <w:tabs>
          <w:tab w:val="left" w:pos="4180"/>
        </w:tabs>
        <w:spacing w:afterLines="100"/>
        <w:ind w:left="0" w:right="-10" w:firstLine="659" w:firstLineChars="206"/>
      </w:pPr>
      <w:r>
        <w:fldChar w:fldCharType="begin"/>
      </w:r>
      <w:r>
        <w:instrText xml:space="preserve"> HYPERLINK \l "_bookmark15" </w:instrText>
      </w:r>
      <w:r>
        <w:fldChar w:fldCharType="separate"/>
      </w:r>
      <w:r>
        <w:t>十一、预算绩效的情况说明</w:t>
      </w:r>
      <w:r>
        <w:fldChar w:fldCharType="end"/>
      </w:r>
    </w:p>
    <w:p>
      <w:pPr>
        <w:pStyle w:val="9"/>
        <w:spacing w:afterLines="100"/>
        <w:ind w:left="0" w:firstLine="662" w:firstLineChars="206"/>
        <w:rPr>
          <w:sz w:val="28"/>
        </w:rPr>
      </w:pPr>
      <w:r>
        <w:fldChar w:fldCharType="begin"/>
      </w:r>
      <w:r>
        <w:instrText xml:space="preserve"> HYPERLINK \l "_bookmark16" </w:instrText>
      </w:r>
      <w:r>
        <w:fldChar w:fldCharType="separate"/>
      </w:r>
      <w:r>
        <w:t>第三部分 专业名词解释</w:t>
      </w:r>
      <w:r>
        <w:fldChar w:fldCharType="end"/>
      </w:r>
    </w:p>
    <w:p>
      <w:pPr>
        <w:spacing w:afterLines="100"/>
        <w:ind w:firstLine="660" w:firstLineChars="300"/>
        <w:rPr>
          <w:b/>
          <w:sz w:val="32"/>
        </w:rPr>
      </w:pPr>
      <w:r>
        <w:fldChar w:fldCharType="begin"/>
      </w:r>
      <w:r>
        <w:instrText xml:space="preserve"> HYPERLINK \l "_bookmark17" </w:instrText>
      </w:r>
      <w:r>
        <w:fldChar w:fldCharType="separate"/>
      </w:r>
      <w:r>
        <w:rPr>
          <w:b/>
          <w:sz w:val="32"/>
        </w:rPr>
        <w:t>第四部分 部门决算报表</w:t>
      </w:r>
      <w:r>
        <w:rPr>
          <w:b/>
          <w:sz w:val="32"/>
        </w:rPr>
        <w:fldChar w:fldCharType="end"/>
      </w:r>
      <w:bookmarkStart w:id="0" w:name="第一部分_部门单位概况"/>
      <w:bookmarkEnd w:id="0"/>
      <w:r>
        <w:rPr>
          <w:rFonts w:hint="eastAsia"/>
          <w:b/>
          <w:sz w:val="32"/>
        </w:rPr>
        <w:t>（见附表）</w:t>
      </w:r>
    </w:p>
    <w:p>
      <w:pPr>
        <w:spacing w:afterLines="100"/>
        <w:ind w:firstLine="453" w:firstLineChars="206"/>
        <w:rPr>
          <w:sz w:val="32"/>
          <w:szCs w:val="32"/>
        </w:rPr>
      </w:pPr>
      <w:r>
        <w:fldChar w:fldCharType="begin"/>
      </w:r>
      <w:r>
        <w:instrText xml:space="preserve"> HYPERLINK \l "_bookmark18" </w:instrText>
      </w:r>
      <w:r>
        <w:fldChar w:fldCharType="separate"/>
      </w:r>
      <w:r>
        <w:rPr>
          <w:spacing w:val="-2"/>
          <w:sz w:val="32"/>
          <w:szCs w:val="32"/>
        </w:rPr>
        <w:t>一、《收入支出决算总表》</w:t>
      </w:r>
      <w:r>
        <w:rPr>
          <w:spacing w:val="-2"/>
          <w:sz w:val="32"/>
          <w:szCs w:val="32"/>
        </w:rPr>
        <w:fldChar w:fldCharType="end"/>
      </w:r>
    </w:p>
    <w:p>
      <w:pPr>
        <w:spacing w:afterLines="100"/>
        <w:ind w:firstLine="453" w:firstLineChars="206"/>
        <w:rPr>
          <w:sz w:val="32"/>
          <w:szCs w:val="32"/>
        </w:rPr>
      </w:pPr>
      <w:r>
        <w:fldChar w:fldCharType="begin"/>
      </w:r>
      <w:r>
        <w:instrText xml:space="preserve"> HYPERLINK \l "_bookmark19" </w:instrText>
      </w:r>
      <w:r>
        <w:fldChar w:fldCharType="separate"/>
      </w:r>
      <w:r>
        <w:rPr>
          <w:sz w:val="32"/>
          <w:szCs w:val="32"/>
        </w:rPr>
        <w:t>二、《收入决算表》</w:t>
      </w:r>
      <w:r>
        <w:rPr>
          <w:sz w:val="32"/>
          <w:szCs w:val="32"/>
        </w:rPr>
        <w:fldChar w:fldCharType="end"/>
      </w:r>
    </w:p>
    <w:p>
      <w:pPr>
        <w:pStyle w:val="2"/>
        <w:spacing w:afterLines="100"/>
        <w:ind w:left="0" w:firstLine="659" w:firstLineChars="206"/>
      </w:pPr>
      <w:r>
        <w:fldChar w:fldCharType="begin"/>
      </w:r>
      <w:r>
        <w:instrText xml:space="preserve"> HYPERLINK \l "_bookmark20" </w:instrText>
      </w:r>
      <w:r>
        <w:fldChar w:fldCharType="separate"/>
      </w:r>
      <w:r>
        <w:rPr>
          <w:w w:val="95"/>
        </w:rPr>
        <w:t>三、《支出决算表》</w:t>
      </w:r>
      <w:r>
        <w:rPr>
          <w:w w:val="95"/>
        </w:rPr>
        <w:fldChar w:fldCharType="end"/>
      </w:r>
    </w:p>
    <w:p>
      <w:pPr>
        <w:pStyle w:val="2"/>
        <w:spacing w:afterLines="100"/>
        <w:ind w:left="0" w:firstLine="659" w:firstLineChars="206"/>
      </w:pPr>
      <w:r>
        <w:fldChar w:fldCharType="begin"/>
      </w:r>
      <w:r>
        <w:instrText xml:space="preserve"> HYPERLINK \l "_bookmark21" </w:instrText>
      </w:r>
      <w:r>
        <w:fldChar w:fldCharType="separate"/>
      </w:r>
      <w:r>
        <w:t>四、《财政拨款收入支出决算总表》</w:t>
      </w:r>
      <w:r>
        <w:fldChar w:fldCharType="end"/>
      </w:r>
    </w:p>
    <w:p>
      <w:pPr>
        <w:pStyle w:val="2"/>
        <w:spacing w:afterLines="100"/>
        <w:ind w:left="0" w:firstLine="659" w:firstLineChars="206"/>
      </w:pPr>
      <w:r>
        <w:fldChar w:fldCharType="begin"/>
      </w:r>
      <w:r>
        <w:instrText xml:space="preserve"> HYPERLINK \l "_bookmark22" </w:instrText>
      </w:r>
      <w:r>
        <w:fldChar w:fldCharType="separate"/>
      </w:r>
      <w:r>
        <w:t>五、《一般公共预算财政拨款支出决算表》</w:t>
      </w:r>
      <w:r>
        <w:fldChar w:fldCharType="end"/>
      </w:r>
    </w:p>
    <w:p>
      <w:pPr>
        <w:pStyle w:val="2"/>
        <w:spacing w:afterLines="100"/>
        <w:ind w:left="0" w:firstLine="659" w:firstLineChars="206"/>
      </w:pPr>
      <w:r>
        <w:fldChar w:fldCharType="begin"/>
      </w:r>
      <w:r>
        <w:instrText xml:space="preserve"> HYPERLINK \l "_bookmark23" </w:instrText>
      </w:r>
      <w:r>
        <w:fldChar w:fldCharType="separate"/>
      </w:r>
      <w:r>
        <w:t>六、《一般公共预算财政拨款基本支出决算表》</w:t>
      </w:r>
      <w:r>
        <w:fldChar w:fldCharType="end"/>
      </w:r>
    </w:p>
    <w:p>
      <w:pPr>
        <w:pStyle w:val="2"/>
        <w:spacing w:afterLines="100"/>
        <w:ind w:left="0" w:right="-10" w:firstLine="659" w:firstLineChars="206"/>
      </w:pPr>
      <w:r>
        <w:fldChar w:fldCharType="begin"/>
      </w:r>
      <w:r>
        <w:instrText xml:space="preserve"> HYPERLINK \l "_bookmark24" </w:instrText>
      </w:r>
      <w:r>
        <w:fldChar w:fldCharType="separate"/>
      </w:r>
      <w:r>
        <w:t>七、《一般公共预算财政拨款“三公”经费支出决算表》</w:t>
      </w:r>
      <w:r>
        <w:fldChar w:fldCharType="end"/>
      </w:r>
    </w:p>
    <w:p>
      <w:pPr>
        <w:pStyle w:val="2"/>
        <w:spacing w:afterLines="100"/>
        <w:ind w:left="0" w:right="-10" w:firstLine="659" w:firstLineChars="206"/>
      </w:pPr>
      <w:r>
        <w:fldChar w:fldCharType="begin"/>
      </w:r>
      <w:r>
        <w:instrText xml:space="preserve"> HYPERLINK \l "_bookmark25" </w:instrText>
      </w:r>
      <w:r>
        <w:fldChar w:fldCharType="separate"/>
      </w:r>
      <w:r>
        <w:t>八、《政府性基金预算财政拨款收入支出决算表》</w:t>
      </w:r>
      <w:r>
        <w:fldChar w:fldCharType="end"/>
      </w:r>
    </w:p>
    <w:p>
      <w:pPr>
        <w:pStyle w:val="2"/>
        <w:spacing w:afterLines="100"/>
        <w:ind w:left="0" w:firstLine="659" w:firstLineChars="206"/>
      </w:pPr>
      <w:r>
        <w:t>九、《国有资本经营预算财政拨款收入支出决算表》</w:t>
      </w:r>
    </w:p>
    <w:p>
      <w:pPr>
        <w:ind w:firstLine="453" w:firstLineChars="206"/>
        <w:sectPr>
          <w:footerReference r:id="rId3" w:type="default"/>
          <w:pgSz w:w="11910" w:h="16840"/>
          <w:pgMar w:top="1540" w:right="1220" w:bottom="1180" w:left="1680" w:header="0" w:footer="993" w:gutter="0"/>
          <w:cols w:space="720" w:num="1"/>
        </w:sectPr>
      </w:pPr>
    </w:p>
    <w:p>
      <w:pPr>
        <w:pStyle w:val="9"/>
        <w:spacing w:afterLines="50" w:line="500" w:lineRule="exact"/>
        <w:ind w:left="637" w:right="457"/>
        <w:jc w:val="center"/>
      </w:pPr>
      <w:bookmarkStart w:id="1" w:name="_bookmark0"/>
      <w:bookmarkEnd w:id="1"/>
      <w:r>
        <w:t>第一部分 部门单位概况</w:t>
      </w:r>
    </w:p>
    <w:p>
      <w:pPr>
        <w:pStyle w:val="2"/>
        <w:spacing w:afterLines="50" w:line="500" w:lineRule="exact"/>
        <w:ind w:left="0"/>
        <w:rPr>
          <w:b/>
          <w:sz w:val="14"/>
        </w:rPr>
      </w:pPr>
    </w:p>
    <w:p>
      <w:pPr>
        <w:pStyle w:val="2"/>
        <w:spacing w:afterLines="50" w:line="500" w:lineRule="exact"/>
        <w:ind w:left="0" w:firstLine="643" w:firstLineChars="200"/>
        <w:rPr>
          <w:b/>
          <w:bCs/>
        </w:rPr>
      </w:pPr>
      <w:bookmarkStart w:id="2" w:name="一、主要职能"/>
      <w:bookmarkEnd w:id="2"/>
      <w:bookmarkStart w:id="3" w:name="_bookmark1"/>
      <w:bookmarkEnd w:id="3"/>
      <w:r>
        <w:rPr>
          <w:b/>
          <w:bCs/>
        </w:rPr>
        <w:t>一、主要职能</w:t>
      </w:r>
    </w:p>
    <w:p>
      <w:pPr>
        <w:pStyle w:val="2"/>
        <w:spacing w:afterLines="50" w:line="500" w:lineRule="exact"/>
        <w:ind w:left="0" w:firstLine="659" w:firstLineChars="226"/>
        <w:jc w:val="both"/>
        <w:rPr>
          <w:spacing w:val="-4"/>
          <w:sz w:val="30"/>
          <w:szCs w:val="30"/>
        </w:rPr>
      </w:pPr>
      <w:r>
        <w:rPr>
          <w:spacing w:val="-4"/>
          <w:sz w:val="30"/>
          <w:szCs w:val="30"/>
        </w:rPr>
        <w:t>新疆维吾尔自治区第一济困医院位于乌鲁木齐市美丽的水磨沟风景区旁，是一所集济困、低保、医疗、教学、急救、康复及社区卫生服务于一体的公益性非营利的国家二级甲等综合医院，是自治区和乌鲁木齐市两级职工、居民、低保的医疗保险、生育保险、工伤保险及新型农牧区合作医疗保险、商业保险、定点的医疗机构。医院现有编制床位500张。医院与自治区人民医院</w:t>
      </w:r>
      <w:r>
        <w:rPr>
          <w:rFonts w:hint="eastAsia"/>
          <w:spacing w:val="-4"/>
          <w:sz w:val="30"/>
          <w:szCs w:val="30"/>
        </w:rPr>
        <w:t>建</w:t>
      </w:r>
      <w:r>
        <w:rPr>
          <w:spacing w:val="-4"/>
          <w:sz w:val="30"/>
          <w:szCs w:val="30"/>
        </w:rPr>
        <w:t>立了全方位的技术协作关系，常年派专家开展疑难病会诊、危重病人抢救、特殊病人手术等业务，建立了完善的“双向转诊制度”。</w:t>
      </w:r>
    </w:p>
    <w:p>
      <w:pPr>
        <w:pStyle w:val="2"/>
        <w:spacing w:afterLines="50" w:line="500" w:lineRule="exact"/>
        <w:ind w:left="0" w:firstLine="659" w:firstLineChars="226"/>
        <w:jc w:val="both"/>
        <w:rPr>
          <w:spacing w:val="-4"/>
          <w:sz w:val="30"/>
          <w:szCs w:val="30"/>
        </w:rPr>
      </w:pPr>
      <w:r>
        <w:rPr>
          <w:spacing w:val="-4"/>
          <w:sz w:val="30"/>
          <w:szCs w:val="30"/>
        </w:rPr>
        <w:t>医院拥有螺旋CT、彩超、1000毫安多功能数字X光机、全自动生化分析仪、血液透析仪、五分类全自动血球分析仪、微量分析仪、动态心电、动态血压监测仪、脑电地形图仪、C形臂X光机、CR、阴道宫腔镜、腹腔镜及电子胃镜等先进医疗设备。</w:t>
      </w:r>
    </w:p>
    <w:p>
      <w:pPr>
        <w:pStyle w:val="2"/>
        <w:spacing w:afterLines="50" w:line="500" w:lineRule="exact"/>
        <w:ind w:left="0" w:firstLine="663" w:firstLineChars="226"/>
        <w:jc w:val="both"/>
        <w:rPr>
          <w:b/>
          <w:bCs/>
          <w:spacing w:val="-4"/>
          <w:sz w:val="30"/>
          <w:szCs w:val="30"/>
        </w:rPr>
      </w:pPr>
      <w:bookmarkStart w:id="4" w:name="二、机构设置及人员情况"/>
      <w:bookmarkEnd w:id="4"/>
      <w:bookmarkStart w:id="5" w:name="_bookmark2"/>
      <w:bookmarkEnd w:id="5"/>
      <w:r>
        <w:rPr>
          <w:rFonts w:hint="eastAsia"/>
          <w:b/>
          <w:bCs/>
          <w:spacing w:val="-4"/>
          <w:sz w:val="30"/>
          <w:szCs w:val="30"/>
        </w:rPr>
        <w:t>二、</w:t>
      </w:r>
      <w:r>
        <w:rPr>
          <w:b/>
          <w:bCs/>
          <w:spacing w:val="-4"/>
          <w:sz w:val="30"/>
          <w:szCs w:val="30"/>
        </w:rPr>
        <w:t>机构设置及人员情况</w:t>
      </w:r>
    </w:p>
    <w:p>
      <w:pPr>
        <w:pStyle w:val="2"/>
        <w:spacing w:afterLines="50" w:line="500" w:lineRule="exact"/>
        <w:ind w:left="0" w:firstLine="657" w:firstLineChars="222"/>
        <w:jc w:val="both"/>
        <w:rPr>
          <w:sz w:val="30"/>
          <w:szCs w:val="30"/>
        </w:rPr>
      </w:pPr>
      <w:r>
        <w:rPr>
          <w:rFonts w:hint="eastAsia"/>
          <w:spacing w:val="-2"/>
          <w:sz w:val="30"/>
          <w:szCs w:val="30"/>
        </w:rPr>
        <w:t>新疆维吾尔</w:t>
      </w:r>
      <w:r>
        <w:rPr>
          <w:rFonts w:hint="eastAsia"/>
          <w:sz w:val="30"/>
          <w:szCs w:val="30"/>
        </w:rPr>
        <w:t>自治区第一济困医院2020年度，实有人数712人，其中：在职人员479人，</w:t>
      </w:r>
      <w:r>
        <w:rPr>
          <w:rFonts w:hint="eastAsia"/>
          <w:spacing w:val="-35"/>
          <w:sz w:val="30"/>
          <w:szCs w:val="30"/>
        </w:rPr>
        <w:t>离休人员</w:t>
      </w:r>
      <w:r>
        <w:rPr>
          <w:rFonts w:hint="eastAsia"/>
          <w:sz w:val="30"/>
          <w:szCs w:val="30"/>
        </w:rPr>
        <w:t>8</w:t>
      </w:r>
      <w:r>
        <w:rPr>
          <w:rFonts w:hint="eastAsia"/>
          <w:spacing w:val="-41"/>
          <w:sz w:val="30"/>
          <w:szCs w:val="30"/>
        </w:rPr>
        <w:t>人，退休人员</w:t>
      </w:r>
      <w:r>
        <w:rPr>
          <w:rFonts w:hint="eastAsia"/>
          <w:spacing w:val="-3"/>
          <w:sz w:val="30"/>
          <w:szCs w:val="30"/>
        </w:rPr>
        <w:t>225</w:t>
      </w:r>
      <w:r>
        <w:rPr>
          <w:rFonts w:hint="eastAsia"/>
          <w:spacing w:val="-37"/>
          <w:sz w:val="30"/>
          <w:szCs w:val="30"/>
        </w:rPr>
        <w:t>人。</w:t>
      </w:r>
    </w:p>
    <w:p>
      <w:pPr>
        <w:pStyle w:val="2"/>
        <w:spacing w:afterLines="50" w:line="500" w:lineRule="exact"/>
        <w:ind w:left="0" w:firstLine="659" w:firstLineChars="226"/>
        <w:jc w:val="both"/>
        <w:rPr>
          <w:spacing w:val="-4"/>
          <w:sz w:val="30"/>
          <w:szCs w:val="30"/>
        </w:rPr>
      </w:pPr>
      <w:r>
        <w:rPr>
          <w:rFonts w:hint="eastAsia"/>
          <w:spacing w:val="-4"/>
          <w:sz w:val="30"/>
          <w:szCs w:val="30"/>
        </w:rPr>
        <w:t>从部门决算单位构成看，新疆维吾尔自治区第一济困医院决算包括：新疆维吾尔自治区第一济困医院决算。单位无下属预算单位，下设</w:t>
      </w:r>
      <w:r>
        <w:rPr>
          <w:rFonts w:hint="eastAsia"/>
          <w:spacing w:val="-4"/>
          <w:sz w:val="30"/>
          <w:szCs w:val="30"/>
          <w:lang w:val="en-US"/>
        </w:rPr>
        <w:t>36个处室，分别是：（1）</w:t>
      </w:r>
      <w:r>
        <w:rPr>
          <w:rFonts w:hint="eastAsia"/>
          <w:spacing w:val="-4"/>
          <w:sz w:val="30"/>
          <w:szCs w:val="30"/>
        </w:rPr>
        <w:t>21个临床医技科室：内科（4个）、外科（2个）、妇产科、儿科、中医科、康复科、口腔科、眼耳鼻咽喉科、老年病科、重症医学科、药剂科、手麻科、检验科、放射科、特检科及120 急救系统和社区卫生服务中心；（</w:t>
      </w:r>
      <w:r>
        <w:rPr>
          <w:rFonts w:hint="eastAsia"/>
          <w:spacing w:val="-4"/>
          <w:sz w:val="30"/>
          <w:szCs w:val="30"/>
          <w:lang w:val="en-US"/>
        </w:rPr>
        <w:t>2</w:t>
      </w:r>
      <w:r>
        <w:rPr>
          <w:rFonts w:hint="eastAsia"/>
          <w:spacing w:val="-4"/>
          <w:sz w:val="30"/>
          <w:szCs w:val="30"/>
        </w:rPr>
        <w:t>）15个后勤职能科室：党政办、人事科、保卫科、财务科、工会一家亲办公室、供应室、护理部、纪检监察办公室、老干科、设备科、信息科、医保办、医教科、院感办、总务科。</w:t>
      </w:r>
    </w:p>
    <w:p>
      <w:pPr>
        <w:spacing w:afterLines="50" w:line="500" w:lineRule="exact"/>
        <w:ind w:right="2404" w:firstLine="663" w:firstLineChars="220"/>
        <w:jc w:val="center"/>
        <w:rPr>
          <w:b/>
          <w:bCs/>
          <w:sz w:val="32"/>
          <w:szCs w:val="32"/>
        </w:rPr>
      </w:pPr>
      <w:bookmarkStart w:id="6" w:name="_bookmark3"/>
      <w:bookmarkEnd w:id="6"/>
      <w:bookmarkStart w:id="7" w:name="第二部分_部门决算情况说明"/>
      <w:bookmarkEnd w:id="7"/>
      <w:r>
        <w:rPr>
          <w:rFonts w:hint="eastAsia"/>
          <w:b/>
          <w:bCs/>
          <w:sz w:val="30"/>
          <w:szCs w:val="30"/>
        </w:rPr>
        <w:t xml:space="preserve">            </w:t>
      </w:r>
      <w:r>
        <w:rPr>
          <w:b/>
          <w:bCs/>
          <w:sz w:val="32"/>
          <w:szCs w:val="32"/>
        </w:rPr>
        <w:t>第二部分 部门决算情况说明</w:t>
      </w:r>
      <w:bookmarkStart w:id="8" w:name="_bookmark4"/>
      <w:bookmarkEnd w:id="8"/>
      <w:bookmarkStart w:id="9" w:name="一、收入支出决算总体情况说明"/>
      <w:bookmarkEnd w:id="9"/>
    </w:p>
    <w:p>
      <w:pPr>
        <w:spacing w:afterLines="50" w:line="500" w:lineRule="exact"/>
        <w:ind w:right="2404" w:firstLine="663" w:firstLineChars="220"/>
        <w:jc w:val="both"/>
        <w:rPr>
          <w:b/>
          <w:bCs/>
          <w:sz w:val="30"/>
          <w:szCs w:val="30"/>
        </w:rPr>
      </w:pPr>
      <w:r>
        <w:rPr>
          <w:b/>
          <w:bCs/>
          <w:sz w:val="30"/>
          <w:szCs w:val="30"/>
        </w:rPr>
        <w:t>一、收入支出决算总体情况说明</w:t>
      </w:r>
    </w:p>
    <w:p>
      <w:pPr>
        <w:pStyle w:val="2"/>
        <w:spacing w:afterLines="50" w:line="500" w:lineRule="exact"/>
        <w:ind w:left="0" w:firstLine="660" w:firstLineChars="220"/>
        <w:jc w:val="both"/>
        <w:rPr>
          <w:sz w:val="30"/>
          <w:szCs w:val="30"/>
        </w:rPr>
      </w:pPr>
      <w:r>
        <w:rPr>
          <w:sz w:val="30"/>
          <w:szCs w:val="30"/>
        </w:rPr>
        <w:t>2020年度本年收入17,633.1</w:t>
      </w:r>
      <w:r>
        <w:rPr>
          <w:rFonts w:hint="eastAsia"/>
          <w:sz w:val="30"/>
          <w:szCs w:val="30"/>
          <w:lang w:val="en-US"/>
        </w:rPr>
        <w:t>8</w:t>
      </w:r>
      <w:r>
        <w:rPr>
          <w:sz w:val="30"/>
          <w:szCs w:val="30"/>
        </w:rPr>
        <w:t>万元，与上年相比，增加341.2</w:t>
      </w:r>
      <w:r>
        <w:rPr>
          <w:rFonts w:hint="eastAsia"/>
          <w:sz w:val="30"/>
          <w:szCs w:val="30"/>
          <w:lang w:val="en-US"/>
        </w:rPr>
        <w:t>5</w:t>
      </w:r>
      <w:r>
        <w:rPr>
          <w:sz w:val="30"/>
          <w:szCs w:val="30"/>
        </w:rPr>
        <w:t>万元，增长1.97%，主要原因是：财政</w:t>
      </w:r>
      <w:r>
        <w:rPr>
          <w:rFonts w:hint="eastAsia"/>
          <w:sz w:val="30"/>
          <w:szCs w:val="30"/>
        </w:rPr>
        <w:t>项目拨款收入增加</w:t>
      </w:r>
      <w:r>
        <w:rPr>
          <w:sz w:val="30"/>
          <w:szCs w:val="30"/>
        </w:rPr>
        <w:t>。本年支出 17,565.23万元，与上年相比</w:t>
      </w:r>
      <w:r>
        <w:rPr>
          <w:rFonts w:hint="eastAsia"/>
          <w:sz w:val="30"/>
          <w:szCs w:val="30"/>
        </w:rPr>
        <w:t>，</w:t>
      </w:r>
      <w:r>
        <w:rPr>
          <w:sz w:val="30"/>
          <w:szCs w:val="30"/>
        </w:rPr>
        <w:t>增加515.58万元，增</w:t>
      </w:r>
      <w:r>
        <w:rPr>
          <w:rFonts w:hint="eastAsia"/>
          <w:sz w:val="30"/>
          <w:szCs w:val="30"/>
        </w:rPr>
        <w:t>长</w:t>
      </w:r>
      <w:r>
        <w:rPr>
          <w:sz w:val="30"/>
          <w:szCs w:val="30"/>
        </w:rPr>
        <w:t>3.02%</w:t>
      </w:r>
      <w:r>
        <w:rPr>
          <w:rFonts w:hint="eastAsia"/>
          <w:sz w:val="30"/>
          <w:szCs w:val="30"/>
        </w:rPr>
        <w:t>，主要原因是：增加各种消杀物资、检测试剂、医疗设备的购进等，造成支出较去年有所增加</w:t>
      </w:r>
      <w:r>
        <w:rPr>
          <w:sz w:val="30"/>
          <w:szCs w:val="30"/>
        </w:rPr>
        <w:t>。</w:t>
      </w:r>
    </w:p>
    <w:p>
      <w:pPr>
        <w:pStyle w:val="2"/>
        <w:spacing w:afterLines="50" w:line="500" w:lineRule="exact"/>
        <w:ind w:left="0" w:firstLine="663" w:firstLineChars="220"/>
        <w:jc w:val="both"/>
        <w:rPr>
          <w:b/>
          <w:bCs/>
          <w:sz w:val="30"/>
          <w:szCs w:val="30"/>
        </w:rPr>
      </w:pPr>
      <w:bookmarkStart w:id="10" w:name="_bookmark5"/>
      <w:bookmarkEnd w:id="10"/>
      <w:bookmarkStart w:id="11" w:name="二、收入决算情况说明"/>
      <w:bookmarkEnd w:id="11"/>
      <w:r>
        <w:rPr>
          <w:rFonts w:hint="eastAsia"/>
          <w:b/>
          <w:bCs/>
          <w:sz w:val="30"/>
          <w:szCs w:val="30"/>
        </w:rPr>
        <w:t>二、收入决算情况说明</w:t>
      </w:r>
    </w:p>
    <w:p>
      <w:pPr>
        <w:pStyle w:val="2"/>
        <w:spacing w:afterLines="50" w:line="500" w:lineRule="exact"/>
        <w:ind w:left="0" w:firstLine="600" w:firstLineChars="200"/>
        <w:jc w:val="both"/>
        <w:rPr>
          <w:sz w:val="30"/>
          <w:szCs w:val="30"/>
        </w:rPr>
      </w:pPr>
      <w:bookmarkStart w:id="12" w:name="三、支出决算情况说明"/>
      <w:bookmarkEnd w:id="12"/>
      <w:bookmarkStart w:id="13" w:name="_bookmark6"/>
      <w:bookmarkEnd w:id="13"/>
      <w:r>
        <w:rPr>
          <w:rFonts w:hint="eastAsia"/>
          <w:sz w:val="30"/>
          <w:szCs w:val="30"/>
        </w:rPr>
        <w:t xml:space="preserve">2020年度本年收入17,633.18万元，其中：财政拨款收入 </w:t>
      </w:r>
      <w:r>
        <w:rPr>
          <w:rFonts w:hint="eastAsia"/>
          <w:sz w:val="30"/>
          <w:szCs w:val="30"/>
          <w:lang w:val="en-US"/>
        </w:rPr>
        <w:t>7,970.60</w:t>
      </w:r>
      <w:r>
        <w:rPr>
          <w:rFonts w:hint="eastAsia"/>
          <w:sz w:val="30"/>
          <w:szCs w:val="30"/>
        </w:rPr>
        <w:t>万元，占</w:t>
      </w:r>
      <w:r>
        <w:rPr>
          <w:rFonts w:hint="eastAsia"/>
          <w:sz w:val="30"/>
          <w:szCs w:val="30"/>
          <w:lang w:val="en-US"/>
        </w:rPr>
        <w:t>45.20</w:t>
      </w:r>
      <w:r>
        <w:rPr>
          <w:rFonts w:hint="eastAsia"/>
          <w:sz w:val="30"/>
          <w:szCs w:val="30"/>
        </w:rPr>
        <w:t>%</w:t>
      </w:r>
      <w:r>
        <w:rPr>
          <w:rFonts w:hint="eastAsia"/>
          <w:sz w:val="30"/>
          <w:szCs w:val="30"/>
          <w:lang w:val="en-US"/>
        </w:rPr>
        <w:t xml:space="preserve"> </w:t>
      </w:r>
      <w:r>
        <w:rPr>
          <w:rFonts w:hint="eastAsia"/>
          <w:sz w:val="30"/>
          <w:szCs w:val="30"/>
        </w:rPr>
        <w:t>；上级补助收入</w:t>
      </w:r>
      <w:r>
        <w:rPr>
          <w:rFonts w:hint="eastAsia"/>
          <w:sz w:val="30"/>
          <w:szCs w:val="30"/>
          <w:lang w:val="en-US"/>
        </w:rPr>
        <w:t>0.00万元，占0.00%；事业收入9,300.74万元，占52.75%；经营收入0.00万元，占0.00%；附属单位上缴收入0.00万元，占0.00%；其他收入361.83万元，占2.05%</w:t>
      </w:r>
      <w:r>
        <w:rPr>
          <w:rFonts w:hint="eastAsia"/>
          <w:sz w:val="30"/>
          <w:szCs w:val="30"/>
        </w:rPr>
        <w:t>。</w:t>
      </w:r>
    </w:p>
    <w:p>
      <w:pPr>
        <w:pStyle w:val="2"/>
        <w:spacing w:afterLines="50" w:line="500" w:lineRule="exact"/>
        <w:ind w:left="0" w:firstLine="663" w:firstLineChars="220"/>
        <w:jc w:val="both"/>
        <w:rPr>
          <w:sz w:val="30"/>
          <w:szCs w:val="30"/>
        </w:rPr>
      </w:pPr>
      <w:r>
        <w:rPr>
          <w:b/>
          <w:bCs/>
          <w:sz w:val="30"/>
          <w:szCs w:val="30"/>
        </w:rPr>
        <w:t>三、支出决算情况说明</w:t>
      </w:r>
    </w:p>
    <w:p>
      <w:pPr>
        <w:pStyle w:val="2"/>
        <w:spacing w:afterLines="50" w:line="500" w:lineRule="exact"/>
        <w:ind w:left="0" w:firstLine="660" w:firstLineChars="220"/>
        <w:jc w:val="both"/>
        <w:rPr>
          <w:sz w:val="30"/>
          <w:szCs w:val="30"/>
        </w:rPr>
      </w:pPr>
      <w:bookmarkStart w:id="14" w:name="四、财政拨款收入支出决算总体情况说明"/>
      <w:bookmarkEnd w:id="14"/>
      <w:bookmarkStart w:id="15" w:name="_bookmark7"/>
      <w:bookmarkEnd w:id="15"/>
      <w:r>
        <w:rPr>
          <w:sz w:val="30"/>
          <w:szCs w:val="30"/>
        </w:rPr>
        <w:t>2020年度本年支出17,565.23万元。其中：</w:t>
      </w:r>
      <w:r>
        <w:rPr>
          <w:rFonts w:hint="eastAsia"/>
          <w:sz w:val="30"/>
          <w:szCs w:val="30"/>
        </w:rPr>
        <w:t>基本支出13</w:t>
      </w:r>
      <w:r>
        <w:rPr>
          <w:rFonts w:hint="eastAsia"/>
          <w:sz w:val="30"/>
          <w:szCs w:val="30"/>
          <w:lang w:val="en-US"/>
        </w:rPr>
        <w:t>,</w:t>
      </w:r>
      <w:r>
        <w:rPr>
          <w:rFonts w:hint="eastAsia"/>
          <w:sz w:val="30"/>
          <w:szCs w:val="30"/>
        </w:rPr>
        <w:t>839.12万元，占78.79%；项目支出3</w:t>
      </w:r>
      <w:r>
        <w:rPr>
          <w:rFonts w:hint="eastAsia"/>
          <w:sz w:val="30"/>
          <w:szCs w:val="30"/>
          <w:lang w:val="en-US"/>
        </w:rPr>
        <w:t>,</w:t>
      </w:r>
      <w:r>
        <w:rPr>
          <w:rFonts w:hint="eastAsia"/>
          <w:sz w:val="30"/>
          <w:szCs w:val="30"/>
        </w:rPr>
        <w:t>726.11万元，占21.21%；上缴上级支出</w:t>
      </w:r>
      <w:r>
        <w:rPr>
          <w:rFonts w:hint="eastAsia"/>
          <w:sz w:val="30"/>
          <w:szCs w:val="30"/>
          <w:lang w:val="en-US"/>
        </w:rPr>
        <w:t>0.00</w:t>
      </w:r>
      <w:r>
        <w:rPr>
          <w:rFonts w:hint="eastAsia"/>
          <w:sz w:val="30"/>
          <w:szCs w:val="30"/>
        </w:rPr>
        <w:t>万元，</w:t>
      </w:r>
      <w:r>
        <w:rPr>
          <w:rFonts w:hint="eastAsia"/>
          <w:sz w:val="30"/>
          <w:szCs w:val="30"/>
          <w:lang w:val="en-US"/>
        </w:rPr>
        <w:t>占0.00%</w:t>
      </w:r>
      <w:r>
        <w:rPr>
          <w:rFonts w:hint="eastAsia"/>
          <w:sz w:val="30"/>
          <w:szCs w:val="30"/>
        </w:rPr>
        <w:t>；经营支出</w:t>
      </w:r>
      <w:r>
        <w:rPr>
          <w:rFonts w:hint="eastAsia"/>
          <w:sz w:val="30"/>
          <w:szCs w:val="30"/>
          <w:lang w:val="en-US"/>
        </w:rPr>
        <w:t>0.00</w:t>
      </w:r>
      <w:r>
        <w:rPr>
          <w:rFonts w:hint="eastAsia"/>
          <w:sz w:val="30"/>
          <w:szCs w:val="30"/>
        </w:rPr>
        <w:t>万元，</w:t>
      </w:r>
      <w:r>
        <w:rPr>
          <w:rFonts w:hint="eastAsia"/>
          <w:sz w:val="30"/>
          <w:szCs w:val="30"/>
          <w:lang w:val="en-US"/>
        </w:rPr>
        <w:t>占0.00%</w:t>
      </w:r>
      <w:r>
        <w:rPr>
          <w:rFonts w:hint="eastAsia"/>
          <w:sz w:val="30"/>
          <w:szCs w:val="30"/>
        </w:rPr>
        <w:t>；对附属单位补助支出</w:t>
      </w:r>
      <w:r>
        <w:rPr>
          <w:rFonts w:hint="eastAsia"/>
          <w:sz w:val="30"/>
          <w:szCs w:val="30"/>
          <w:lang w:val="en-US"/>
        </w:rPr>
        <w:t>0.00</w:t>
      </w:r>
      <w:r>
        <w:rPr>
          <w:rFonts w:hint="eastAsia"/>
          <w:sz w:val="30"/>
          <w:szCs w:val="30"/>
        </w:rPr>
        <w:t>万元，</w:t>
      </w:r>
      <w:r>
        <w:rPr>
          <w:rFonts w:hint="eastAsia"/>
          <w:sz w:val="30"/>
          <w:szCs w:val="30"/>
          <w:lang w:val="en-US"/>
        </w:rPr>
        <w:t>占0.00%</w:t>
      </w:r>
      <w:r>
        <w:rPr>
          <w:rFonts w:hint="eastAsia"/>
          <w:sz w:val="30"/>
          <w:szCs w:val="30"/>
        </w:rPr>
        <w:t>。</w:t>
      </w:r>
    </w:p>
    <w:p>
      <w:pPr>
        <w:pStyle w:val="2"/>
        <w:spacing w:afterLines="50" w:line="500" w:lineRule="exact"/>
        <w:ind w:left="0" w:firstLine="663" w:firstLineChars="220"/>
        <w:jc w:val="both"/>
        <w:rPr>
          <w:b/>
          <w:bCs/>
          <w:sz w:val="30"/>
          <w:szCs w:val="30"/>
        </w:rPr>
      </w:pPr>
      <w:r>
        <w:rPr>
          <w:b/>
          <w:bCs/>
          <w:sz w:val="30"/>
          <w:szCs w:val="30"/>
        </w:rPr>
        <w:t>四、财政拨款收入支出决算总体情况说明</w:t>
      </w:r>
    </w:p>
    <w:p>
      <w:pPr>
        <w:pStyle w:val="2"/>
        <w:spacing w:afterLines="50" w:line="500" w:lineRule="exact"/>
        <w:ind w:left="0" w:firstLine="660" w:firstLineChars="220"/>
        <w:jc w:val="both"/>
        <w:rPr>
          <w:sz w:val="30"/>
          <w:szCs w:val="30"/>
        </w:rPr>
      </w:pPr>
      <w:bookmarkStart w:id="16" w:name="五、一般公共预算财政拨款支出决算情况说明"/>
      <w:bookmarkEnd w:id="16"/>
      <w:bookmarkStart w:id="17" w:name="_bookmark8"/>
      <w:bookmarkEnd w:id="17"/>
      <w:r>
        <w:rPr>
          <w:rFonts w:hint="eastAsia"/>
          <w:sz w:val="30"/>
          <w:szCs w:val="30"/>
        </w:rPr>
        <w:t>2020年度财政拨款收入7,970.60万元，与上年相比，增加3,647.17万元，增长84.36%。主要原因是：增加财政项目补助收入</w:t>
      </w:r>
      <w:r>
        <w:rPr>
          <w:rFonts w:hint="eastAsia"/>
          <w:sz w:val="30"/>
          <w:szCs w:val="30"/>
          <w:lang w:val="en-US"/>
        </w:rPr>
        <w:t>3,193.11</w:t>
      </w:r>
      <w:r>
        <w:rPr>
          <w:rFonts w:hint="eastAsia"/>
          <w:sz w:val="30"/>
          <w:szCs w:val="30"/>
        </w:rPr>
        <w:t>万元。财政拨款支出7,970.60万元，与上年相比，增加3,647.17万元，增长84.36%，主要原因是：购买专用医疗设备及发热门诊改造等。</w:t>
      </w:r>
    </w:p>
    <w:p>
      <w:pPr>
        <w:pStyle w:val="2"/>
        <w:spacing w:afterLines="50" w:line="500" w:lineRule="exact"/>
        <w:ind w:left="0" w:firstLine="660" w:firstLineChars="220"/>
        <w:jc w:val="both"/>
        <w:rPr>
          <w:sz w:val="30"/>
          <w:szCs w:val="30"/>
        </w:rPr>
      </w:pPr>
      <w:r>
        <w:rPr>
          <w:rFonts w:hint="eastAsia"/>
          <w:sz w:val="30"/>
          <w:szCs w:val="30"/>
        </w:rPr>
        <w:t>与年初预算数相比情况:财政拨款收入年初预算数4,430.79万元,决算数7,970.60万元，预决算差异率79.89%，主要原因是：财政项目补助收入较年初预算增加</w:t>
      </w:r>
      <w:r>
        <w:rPr>
          <w:rFonts w:hint="eastAsia"/>
          <w:sz w:val="30"/>
          <w:szCs w:val="30"/>
          <w:lang w:val="en-US"/>
        </w:rPr>
        <w:t>3,193.11</w:t>
      </w:r>
      <w:r>
        <w:rPr>
          <w:rFonts w:hint="eastAsia"/>
          <w:sz w:val="30"/>
          <w:szCs w:val="30"/>
        </w:rPr>
        <w:t>万元。财政拨款支出年初预算数</w:t>
      </w:r>
      <w:r>
        <w:rPr>
          <w:rFonts w:hint="eastAsia"/>
          <w:sz w:val="30"/>
          <w:szCs w:val="30"/>
          <w:lang w:val="en-US"/>
        </w:rPr>
        <w:t>4,430.79万元</w:t>
      </w:r>
      <w:r>
        <w:rPr>
          <w:rFonts w:hint="eastAsia"/>
          <w:sz w:val="30"/>
          <w:szCs w:val="30"/>
        </w:rPr>
        <w:t>,决算数</w:t>
      </w:r>
      <w:r>
        <w:rPr>
          <w:rFonts w:hint="eastAsia"/>
          <w:sz w:val="30"/>
          <w:szCs w:val="30"/>
          <w:lang w:val="en-US"/>
        </w:rPr>
        <w:t>7,970.60</w:t>
      </w:r>
      <w:r>
        <w:rPr>
          <w:rFonts w:hint="eastAsia"/>
          <w:sz w:val="30"/>
          <w:szCs w:val="30"/>
        </w:rPr>
        <w:t>万元，预决算差异率</w:t>
      </w:r>
      <w:r>
        <w:rPr>
          <w:rFonts w:hint="eastAsia"/>
          <w:sz w:val="30"/>
          <w:szCs w:val="30"/>
          <w:lang w:val="en-US"/>
        </w:rPr>
        <w:t>79.89%,</w:t>
      </w:r>
      <w:r>
        <w:rPr>
          <w:rFonts w:hint="eastAsia"/>
          <w:sz w:val="30"/>
          <w:szCs w:val="30"/>
        </w:rPr>
        <w:t>主要原因是：增加专项资金支出3,193.11万元，用于购买专用医疗设备及发热门诊改造等。</w:t>
      </w:r>
    </w:p>
    <w:p>
      <w:pPr>
        <w:pStyle w:val="2"/>
        <w:spacing w:afterLines="50" w:line="500" w:lineRule="exact"/>
        <w:ind w:left="0" w:firstLine="663" w:firstLineChars="220"/>
        <w:jc w:val="both"/>
        <w:rPr>
          <w:b/>
          <w:bCs/>
          <w:sz w:val="30"/>
          <w:szCs w:val="30"/>
        </w:rPr>
      </w:pPr>
      <w:r>
        <w:rPr>
          <w:b/>
          <w:bCs/>
          <w:sz w:val="30"/>
          <w:szCs w:val="30"/>
        </w:rPr>
        <w:t>五、一般公共预算财政拨款支出决算情况说明</w:t>
      </w:r>
    </w:p>
    <w:p>
      <w:pPr>
        <w:pStyle w:val="2"/>
        <w:spacing w:afterLines="50" w:line="500" w:lineRule="exact"/>
        <w:ind w:left="0" w:firstLine="660" w:firstLineChars="220"/>
        <w:jc w:val="both"/>
        <w:rPr>
          <w:sz w:val="30"/>
          <w:szCs w:val="30"/>
        </w:rPr>
      </w:pPr>
      <w:r>
        <w:rPr>
          <w:sz w:val="30"/>
          <w:szCs w:val="30"/>
        </w:rPr>
        <w:t>2020年度一般公共预算财政拨款支出7,970.60万元。按功能分类科目项级科目公开，其中：</w:t>
      </w:r>
    </w:p>
    <w:p>
      <w:pPr>
        <w:pStyle w:val="2"/>
        <w:spacing w:afterLines="50" w:line="500" w:lineRule="exact"/>
        <w:ind w:left="0" w:firstLine="660" w:firstLineChars="220"/>
        <w:jc w:val="both"/>
        <w:rPr>
          <w:sz w:val="30"/>
          <w:szCs w:val="30"/>
        </w:rPr>
      </w:pPr>
      <w:r>
        <w:rPr>
          <w:sz w:val="30"/>
          <w:szCs w:val="30"/>
        </w:rPr>
        <w:t>2080502 事业单位离退休373.50万元；</w:t>
      </w:r>
    </w:p>
    <w:p>
      <w:pPr>
        <w:pStyle w:val="2"/>
        <w:spacing w:afterLines="50" w:line="500" w:lineRule="exact"/>
        <w:ind w:left="0" w:firstLine="660" w:firstLineChars="220"/>
        <w:jc w:val="both"/>
        <w:rPr>
          <w:sz w:val="30"/>
          <w:szCs w:val="30"/>
        </w:rPr>
      </w:pPr>
      <w:r>
        <w:rPr>
          <w:sz w:val="30"/>
          <w:szCs w:val="30"/>
        </w:rPr>
        <w:t>2080505</w:t>
      </w:r>
      <w:r>
        <w:rPr>
          <w:rFonts w:hint="eastAsia"/>
          <w:sz w:val="30"/>
          <w:szCs w:val="30"/>
          <w:lang w:val="en-US"/>
        </w:rPr>
        <w:t xml:space="preserve"> </w:t>
      </w:r>
      <w:r>
        <w:rPr>
          <w:sz w:val="30"/>
          <w:szCs w:val="30"/>
        </w:rPr>
        <w:t>机关事业单位基本养老保险缴费支出368.93万元；</w:t>
      </w:r>
    </w:p>
    <w:p>
      <w:pPr>
        <w:pStyle w:val="2"/>
        <w:spacing w:afterLines="50" w:line="500" w:lineRule="exact"/>
        <w:ind w:left="0" w:firstLine="660" w:firstLineChars="220"/>
        <w:jc w:val="both"/>
        <w:rPr>
          <w:sz w:val="30"/>
          <w:szCs w:val="30"/>
        </w:rPr>
      </w:pPr>
      <w:r>
        <w:rPr>
          <w:sz w:val="30"/>
          <w:szCs w:val="30"/>
        </w:rPr>
        <w:t>2080506 机关事业单位职业年金缴费支出28.07万元；</w:t>
      </w:r>
    </w:p>
    <w:p>
      <w:pPr>
        <w:pStyle w:val="2"/>
        <w:spacing w:afterLines="50" w:line="500" w:lineRule="exact"/>
        <w:ind w:left="0" w:firstLine="660" w:firstLineChars="220"/>
        <w:jc w:val="both"/>
        <w:rPr>
          <w:sz w:val="30"/>
          <w:szCs w:val="30"/>
        </w:rPr>
      </w:pPr>
      <w:r>
        <w:rPr>
          <w:sz w:val="30"/>
          <w:szCs w:val="30"/>
        </w:rPr>
        <w:t>2100201 综合医院3,149.11万元；</w:t>
      </w:r>
    </w:p>
    <w:p>
      <w:pPr>
        <w:pStyle w:val="2"/>
        <w:spacing w:afterLines="50" w:line="500" w:lineRule="exact"/>
        <w:ind w:left="0" w:firstLine="660" w:firstLineChars="220"/>
        <w:jc w:val="both"/>
        <w:rPr>
          <w:sz w:val="30"/>
          <w:szCs w:val="30"/>
        </w:rPr>
      </w:pPr>
      <w:r>
        <w:rPr>
          <w:sz w:val="30"/>
          <w:szCs w:val="30"/>
        </w:rPr>
        <w:t>2100299 其他公立医院支出1,917.11万元；</w:t>
      </w:r>
    </w:p>
    <w:p>
      <w:pPr>
        <w:pStyle w:val="2"/>
        <w:spacing w:afterLines="50" w:line="500" w:lineRule="exact"/>
        <w:ind w:left="0" w:firstLine="660" w:firstLineChars="220"/>
        <w:jc w:val="both"/>
        <w:rPr>
          <w:sz w:val="30"/>
          <w:szCs w:val="30"/>
        </w:rPr>
      </w:pPr>
      <w:r>
        <w:rPr>
          <w:sz w:val="30"/>
          <w:szCs w:val="30"/>
        </w:rPr>
        <w:t>2100408 基本公共卫生服务6</w:t>
      </w:r>
      <w:r>
        <w:rPr>
          <w:rFonts w:hint="eastAsia"/>
          <w:sz w:val="30"/>
          <w:szCs w:val="30"/>
        </w:rPr>
        <w:t>.00</w:t>
      </w:r>
      <w:r>
        <w:rPr>
          <w:sz w:val="30"/>
          <w:szCs w:val="30"/>
        </w:rPr>
        <w:t>万元；</w:t>
      </w:r>
    </w:p>
    <w:p>
      <w:pPr>
        <w:pStyle w:val="2"/>
        <w:spacing w:afterLines="50" w:line="500" w:lineRule="exact"/>
        <w:ind w:left="0" w:firstLine="660" w:firstLineChars="220"/>
        <w:jc w:val="both"/>
        <w:rPr>
          <w:sz w:val="30"/>
          <w:szCs w:val="30"/>
        </w:rPr>
      </w:pPr>
      <w:r>
        <w:rPr>
          <w:sz w:val="30"/>
          <w:szCs w:val="30"/>
        </w:rPr>
        <w:t>2100410 突发公共卫生事件应急处理1,500</w:t>
      </w:r>
      <w:r>
        <w:rPr>
          <w:rFonts w:hint="eastAsia"/>
          <w:sz w:val="30"/>
          <w:szCs w:val="30"/>
        </w:rPr>
        <w:t>.00</w:t>
      </w:r>
      <w:r>
        <w:rPr>
          <w:sz w:val="30"/>
          <w:szCs w:val="30"/>
        </w:rPr>
        <w:t>万元；</w:t>
      </w:r>
    </w:p>
    <w:p>
      <w:pPr>
        <w:pStyle w:val="2"/>
        <w:spacing w:afterLines="50" w:line="500" w:lineRule="exact"/>
        <w:ind w:left="0" w:firstLine="660" w:firstLineChars="220"/>
        <w:jc w:val="both"/>
        <w:rPr>
          <w:sz w:val="30"/>
          <w:szCs w:val="30"/>
        </w:rPr>
      </w:pPr>
      <w:r>
        <w:rPr>
          <w:sz w:val="30"/>
          <w:szCs w:val="30"/>
        </w:rPr>
        <w:t>2101102 事业单位医疗197.54万元；</w:t>
      </w:r>
    </w:p>
    <w:p>
      <w:pPr>
        <w:pStyle w:val="2"/>
        <w:spacing w:afterLines="50" w:line="500" w:lineRule="exact"/>
        <w:ind w:left="0" w:firstLine="660" w:firstLineChars="220"/>
        <w:jc w:val="both"/>
        <w:rPr>
          <w:sz w:val="30"/>
          <w:szCs w:val="30"/>
        </w:rPr>
      </w:pPr>
      <w:r>
        <w:rPr>
          <w:sz w:val="30"/>
          <w:szCs w:val="30"/>
        </w:rPr>
        <w:t>2101103 公务员医疗补助153.64万元；</w:t>
      </w:r>
    </w:p>
    <w:p>
      <w:pPr>
        <w:pStyle w:val="2"/>
        <w:spacing w:afterLines="50" w:line="500" w:lineRule="exact"/>
        <w:ind w:left="0" w:firstLine="660" w:firstLineChars="220"/>
        <w:jc w:val="both"/>
        <w:rPr>
          <w:sz w:val="30"/>
          <w:szCs w:val="30"/>
        </w:rPr>
      </w:pPr>
      <w:r>
        <w:rPr>
          <w:sz w:val="30"/>
          <w:szCs w:val="30"/>
        </w:rPr>
        <w:t>2210201 住房公积金276.70万元。</w:t>
      </w:r>
    </w:p>
    <w:p>
      <w:pPr>
        <w:pStyle w:val="2"/>
        <w:numPr>
          <w:ilvl w:val="0"/>
          <w:numId w:val="1"/>
        </w:numPr>
        <w:spacing w:afterLines="50" w:line="500" w:lineRule="exact"/>
        <w:ind w:left="0" w:right="580" w:firstLine="663" w:firstLineChars="220"/>
        <w:jc w:val="both"/>
        <w:rPr>
          <w:b/>
          <w:bCs/>
          <w:sz w:val="30"/>
          <w:szCs w:val="30"/>
        </w:rPr>
      </w:pPr>
      <w:bookmarkStart w:id="18" w:name="六、一般公共预算财政拨款基本支出决算情况说明"/>
      <w:bookmarkEnd w:id="18"/>
      <w:bookmarkStart w:id="19" w:name="_bookmark9"/>
      <w:bookmarkEnd w:id="19"/>
      <w:r>
        <w:rPr>
          <w:b/>
          <w:bCs/>
          <w:sz w:val="30"/>
          <w:szCs w:val="30"/>
        </w:rPr>
        <w:t>一般公共预算财政拨款基本支出决算情况说明</w:t>
      </w:r>
    </w:p>
    <w:p>
      <w:pPr>
        <w:pStyle w:val="2"/>
        <w:spacing w:afterLines="50" w:line="500" w:lineRule="exact"/>
        <w:ind w:left="0" w:right="-10" w:firstLine="660" w:firstLineChars="220"/>
        <w:jc w:val="both"/>
        <w:rPr>
          <w:sz w:val="30"/>
          <w:szCs w:val="30"/>
          <w:lang w:val="en-US"/>
        </w:rPr>
      </w:pPr>
      <w:r>
        <w:rPr>
          <w:rFonts w:hint="eastAsia"/>
          <w:sz w:val="30"/>
          <w:szCs w:val="30"/>
          <w:lang w:val="en-US"/>
        </w:rPr>
        <w:t>2020年度一般公共预算财政拨款基本支出4,244.49万元，其中：</w:t>
      </w:r>
    </w:p>
    <w:p>
      <w:pPr>
        <w:pStyle w:val="2"/>
        <w:spacing w:afterLines="50" w:line="500" w:lineRule="exact"/>
        <w:ind w:left="0" w:firstLine="660" w:firstLineChars="220"/>
        <w:jc w:val="both"/>
        <w:rPr>
          <w:sz w:val="30"/>
          <w:szCs w:val="30"/>
        </w:rPr>
      </w:pPr>
      <w:bookmarkStart w:id="20" w:name="_bookmark10"/>
      <w:bookmarkEnd w:id="20"/>
      <w:bookmarkStart w:id="21" w:name="七、一般公共预算财政拨款“三公”经费支出决算情况说明"/>
      <w:bookmarkEnd w:id="21"/>
      <w:r>
        <w:rPr>
          <w:sz w:val="30"/>
          <w:szCs w:val="30"/>
        </w:rPr>
        <w:t>人员经费3,914.18万元，包括：基本工资、津贴补贴、奖金、绩效工资、机关事业单位基本养老保险缴费、职业年金缴费、职工基本医疗保险缴费、公务员医疗补助缴费、其他社会保障缴费、住房公积金</w:t>
      </w:r>
      <w:r>
        <w:rPr>
          <w:rFonts w:hint="eastAsia"/>
          <w:sz w:val="30"/>
          <w:szCs w:val="30"/>
        </w:rPr>
        <w:t>、其他工资福利支出、</w:t>
      </w:r>
      <w:r>
        <w:rPr>
          <w:sz w:val="30"/>
          <w:szCs w:val="30"/>
        </w:rPr>
        <w:t>离休费、退休费、抚恤金、医疗费补助、其他对个人和家庭的补助。</w:t>
      </w:r>
    </w:p>
    <w:p>
      <w:pPr>
        <w:pStyle w:val="2"/>
        <w:spacing w:afterLines="50" w:line="500" w:lineRule="exact"/>
        <w:ind w:left="0" w:firstLine="660" w:firstLineChars="220"/>
        <w:jc w:val="both"/>
        <w:rPr>
          <w:color w:val="FF0000"/>
          <w:spacing w:val="-6"/>
        </w:rPr>
      </w:pPr>
      <w:r>
        <w:rPr>
          <w:sz w:val="30"/>
          <w:szCs w:val="30"/>
        </w:rPr>
        <w:t>公用经费330.31万元，包括：办公费</w:t>
      </w:r>
      <w:r>
        <w:rPr>
          <w:rFonts w:hint="eastAsia"/>
          <w:sz w:val="30"/>
          <w:szCs w:val="30"/>
        </w:rPr>
        <w:t>、</w:t>
      </w:r>
      <w:r>
        <w:rPr>
          <w:sz w:val="30"/>
          <w:szCs w:val="30"/>
        </w:rPr>
        <w:t>水费</w:t>
      </w:r>
      <w:r>
        <w:rPr>
          <w:rFonts w:hint="eastAsia"/>
          <w:sz w:val="30"/>
          <w:szCs w:val="30"/>
        </w:rPr>
        <w:t>、</w:t>
      </w:r>
      <w:r>
        <w:rPr>
          <w:sz w:val="30"/>
          <w:szCs w:val="30"/>
        </w:rPr>
        <w:t>邮电费、取暖费、差旅费、工会经费</w:t>
      </w:r>
      <w:r>
        <w:rPr>
          <w:rFonts w:hint="eastAsia"/>
          <w:sz w:val="30"/>
          <w:szCs w:val="30"/>
        </w:rPr>
        <w:t>、</w:t>
      </w:r>
      <w:r>
        <w:rPr>
          <w:sz w:val="30"/>
          <w:szCs w:val="30"/>
        </w:rPr>
        <w:t>福利费、其他交通费用、其他商品和服务支出。</w:t>
      </w:r>
    </w:p>
    <w:p>
      <w:pPr>
        <w:pStyle w:val="2"/>
        <w:spacing w:afterLines="50" w:line="500" w:lineRule="exact"/>
        <w:ind w:left="0" w:firstLine="663" w:firstLineChars="220"/>
        <w:jc w:val="both"/>
        <w:rPr>
          <w:sz w:val="30"/>
          <w:szCs w:val="30"/>
        </w:rPr>
      </w:pPr>
      <w:r>
        <w:rPr>
          <w:b/>
          <w:bCs/>
          <w:sz w:val="30"/>
          <w:szCs w:val="30"/>
        </w:rPr>
        <w:t>七、一般公共预算财政拨款“三公”经费支出决算情况说明</w:t>
      </w:r>
    </w:p>
    <w:p>
      <w:pPr>
        <w:autoSpaceDE/>
        <w:autoSpaceDN/>
        <w:snapToGrid w:val="0"/>
        <w:spacing w:afterLines="50" w:line="500" w:lineRule="exact"/>
        <w:ind w:firstLine="660" w:firstLineChars="220"/>
        <w:jc w:val="both"/>
        <w:rPr>
          <w:sz w:val="30"/>
          <w:szCs w:val="30"/>
        </w:rPr>
      </w:pPr>
      <w:r>
        <w:rPr>
          <w:rFonts w:hint="eastAsia"/>
          <w:sz w:val="30"/>
          <w:szCs w:val="30"/>
          <w:lang w:val="en-US"/>
        </w:rPr>
        <w:t>2020</w:t>
      </w:r>
      <w:r>
        <w:rPr>
          <w:rFonts w:hint="eastAsia"/>
          <w:sz w:val="30"/>
          <w:szCs w:val="30"/>
        </w:rPr>
        <w:t>年度一般公共预算“三公”经费支出决算</w:t>
      </w:r>
      <w:r>
        <w:rPr>
          <w:rFonts w:hint="eastAsia"/>
          <w:sz w:val="30"/>
          <w:szCs w:val="30"/>
          <w:lang w:val="en-US"/>
        </w:rPr>
        <w:t>0.00</w:t>
      </w:r>
      <w:r>
        <w:rPr>
          <w:rFonts w:hint="eastAsia"/>
          <w:sz w:val="30"/>
          <w:szCs w:val="30"/>
        </w:rPr>
        <w:t>万元，</w:t>
      </w:r>
      <w:r>
        <w:rPr>
          <w:rFonts w:hint="eastAsia"/>
          <w:sz w:val="30"/>
          <w:szCs w:val="30"/>
          <w:lang w:val="en-US"/>
        </w:rPr>
        <w:t>上年减少11.00万元，降低100.00%，主要原因是</w:t>
      </w:r>
      <w:r>
        <w:rPr>
          <w:rFonts w:hint="eastAsia"/>
          <w:sz w:val="30"/>
          <w:szCs w:val="30"/>
        </w:rPr>
        <w:t>无公务用车的购置，</w:t>
      </w:r>
      <w:r>
        <w:rPr>
          <w:rFonts w:hint="eastAsia"/>
          <w:sz w:val="30"/>
          <w:szCs w:val="30"/>
          <w:lang w:val="en-US"/>
        </w:rPr>
        <w:t>严格控制车辆运行成本，使用事业收入支出。</w:t>
      </w:r>
      <w:r>
        <w:rPr>
          <w:rFonts w:hint="eastAsia"/>
          <w:sz w:val="30"/>
          <w:szCs w:val="30"/>
        </w:rPr>
        <w:t>其中，因公出国（境）费支出</w:t>
      </w:r>
      <w:r>
        <w:rPr>
          <w:rFonts w:hint="eastAsia"/>
          <w:sz w:val="30"/>
          <w:szCs w:val="30"/>
          <w:lang w:val="en-US"/>
        </w:rPr>
        <w:t>0.00</w:t>
      </w:r>
      <w:r>
        <w:rPr>
          <w:rFonts w:hint="eastAsia"/>
          <w:sz w:val="30"/>
          <w:szCs w:val="30"/>
        </w:rPr>
        <w:t>万元，占</w:t>
      </w:r>
      <w:r>
        <w:rPr>
          <w:rFonts w:hint="eastAsia"/>
          <w:sz w:val="30"/>
          <w:szCs w:val="30"/>
          <w:lang w:val="en-US"/>
        </w:rPr>
        <w:t>0.00</w:t>
      </w:r>
      <w:r>
        <w:rPr>
          <w:rFonts w:hint="eastAsia"/>
          <w:sz w:val="30"/>
          <w:szCs w:val="30"/>
        </w:rPr>
        <w:t>%，比上年增加</w:t>
      </w:r>
      <w:r>
        <w:rPr>
          <w:rFonts w:hint="eastAsia"/>
          <w:sz w:val="30"/>
          <w:szCs w:val="30"/>
          <w:lang w:val="en-US"/>
        </w:rPr>
        <w:t>0.00</w:t>
      </w:r>
      <w:r>
        <w:rPr>
          <w:rFonts w:hint="eastAsia"/>
          <w:sz w:val="30"/>
          <w:szCs w:val="30"/>
        </w:rPr>
        <w:t>万元，增长</w:t>
      </w:r>
      <w:r>
        <w:rPr>
          <w:rFonts w:hint="eastAsia"/>
          <w:sz w:val="30"/>
          <w:szCs w:val="30"/>
          <w:lang w:val="en-US"/>
        </w:rPr>
        <w:t>0.00</w:t>
      </w:r>
      <w:r>
        <w:rPr>
          <w:rFonts w:hint="eastAsia"/>
          <w:sz w:val="30"/>
          <w:szCs w:val="30"/>
        </w:rPr>
        <w:t>%，主要原因是本年该项无支出；公务用车购置及运行维护费支出</w:t>
      </w:r>
      <w:r>
        <w:rPr>
          <w:rFonts w:hint="eastAsia"/>
          <w:sz w:val="30"/>
          <w:szCs w:val="30"/>
          <w:lang w:val="en-US"/>
        </w:rPr>
        <w:t>0.00</w:t>
      </w:r>
      <w:r>
        <w:rPr>
          <w:rFonts w:hint="eastAsia"/>
          <w:sz w:val="30"/>
          <w:szCs w:val="30"/>
        </w:rPr>
        <w:t>万元，占</w:t>
      </w:r>
      <w:r>
        <w:rPr>
          <w:rFonts w:hint="eastAsia"/>
          <w:sz w:val="30"/>
          <w:szCs w:val="30"/>
          <w:lang w:val="en-US"/>
        </w:rPr>
        <w:t>0.00</w:t>
      </w:r>
      <w:r>
        <w:rPr>
          <w:rFonts w:hint="eastAsia"/>
          <w:sz w:val="30"/>
          <w:szCs w:val="30"/>
        </w:rPr>
        <w:t>%，比上年减少11</w:t>
      </w:r>
      <w:r>
        <w:rPr>
          <w:rFonts w:hint="eastAsia"/>
          <w:sz w:val="30"/>
          <w:szCs w:val="30"/>
          <w:lang w:val="en-US"/>
        </w:rPr>
        <w:t>.00</w:t>
      </w:r>
      <w:r>
        <w:rPr>
          <w:rFonts w:hint="eastAsia"/>
          <w:sz w:val="30"/>
          <w:szCs w:val="30"/>
        </w:rPr>
        <w:t>万元，降低10</w:t>
      </w:r>
      <w:r>
        <w:rPr>
          <w:rFonts w:hint="eastAsia"/>
          <w:sz w:val="30"/>
          <w:szCs w:val="30"/>
          <w:lang w:val="en-US"/>
        </w:rPr>
        <w:t>0.00</w:t>
      </w:r>
      <w:r>
        <w:rPr>
          <w:rFonts w:hint="eastAsia"/>
          <w:sz w:val="30"/>
          <w:szCs w:val="30"/>
        </w:rPr>
        <w:t>%，主要原因是无公务用车的购置，</w:t>
      </w:r>
      <w:r>
        <w:rPr>
          <w:rFonts w:hint="eastAsia"/>
          <w:sz w:val="30"/>
          <w:szCs w:val="30"/>
          <w:lang w:val="en-US"/>
        </w:rPr>
        <w:t>严格控制车辆运行成本</w:t>
      </w:r>
      <w:r>
        <w:rPr>
          <w:rFonts w:hint="eastAsia"/>
          <w:sz w:val="30"/>
          <w:szCs w:val="30"/>
        </w:rPr>
        <w:t>；公务接待费支出</w:t>
      </w:r>
      <w:r>
        <w:rPr>
          <w:rFonts w:hint="eastAsia"/>
          <w:sz w:val="30"/>
          <w:szCs w:val="30"/>
          <w:lang w:val="en-US"/>
        </w:rPr>
        <w:t>0.00</w:t>
      </w:r>
      <w:r>
        <w:rPr>
          <w:rFonts w:hint="eastAsia"/>
          <w:sz w:val="30"/>
          <w:szCs w:val="30"/>
        </w:rPr>
        <w:t>万元，占</w:t>
      </w:r>
      <w:r>
        <w:rPr>
          <w:rFonts w:hint="eastAsia"/>
          <w:sz w:val="30"/>
          <w:szCs w:val="30"/>
          <w:lang w:val="en-US"/>
        </w:rPr>
        <w:t>0.00</w:t>
      </w:r>
      <w:r>
        <w:rPr>
          <w:rFonts w:hint="eastAsia"/>
          <w:sz w:val="30"/>
          <w:szCs w:val="30"/>
        </w:rPr>
        <w:t>%，比上年增加</w:t>
      </w:r>
      <w:r>
        <w:rPr>
          <w:rFonts w:hint="eastAsia"/>
          <w:sz w:val="30"/>
          <w:szCs w:val="30"/>
          <w:lang w:val="en-US"/>
        </w:rPr>
        <w:t xml:space="preserve"> 0.00</w:t>
      </w:r>
      <w:r>
        <w:rPr>
          <w:rFonts w:hint="eastAsia"/>
          <w:sz w:val="30"/>
          <w:szCs w:val="30"/>
        </w:rPr>
        <w:t>万元，增长</w:t>
      </w:r>
      <w:r>
        <w:rPr>
          <w:rFonts w:hint="eastAsia"/>
          <w:sz w:val="30"/>
          <w:szCs w:val="30"/>
          <w:lang w:val="en-US"/>
        </w:rPr>
        <w:t>0.00</w:t>
      </w:r>
      <w:r>
        <w:rPr>
          <w:rFonts w:hint="eastAsia"/>
          <w:sz w:val="30"/>
          <w:szCs w:val="30"/>
        </w:rPr>
        <w:t>%，主要原因是本年该项无支出。具体情况如下：</w:t>
      </w:r>
    </w:p>
    <w:p>
      <w:pPr>
        <w:autoSpaceDE/>
        <w:autoSpaceDN/>
        <w:snapToGrid w:val="0"/>
        <w:spacing w:afterLines="50" w:line="500" w:lineRule="exact"/>
        <w:ind w:firstLine="660" w:firstLineChars="220"/>
        <w:jc w:val="both"/>
        <w:rPr>
          <w:sz w:val="30"/>
          <w:szCs w:val="30"/>
        </w:rPr>
      </w:pPr>
      <w:r>
        <w:rPr>
          <w:rFonts w:hint="eastAsia"/>
          <w:sz w:val="30"/>
          <w:szCs w:val="30"/>
        </w:rPr>
        <w:t>因公出国（境）费支出</w:t>
      </w:r>
      <w:r>
        <w:rPr>
          <w:rFonts w:hint="eastAsia"/>
          <w:sz w:val="30"/>
          <w:szCs w:val="30"/>
          <w:lang w:val="en-US"/>
        </w:rPr>
        <w:t>0.00</w:t>
      </w:r>
      <w:r>
        <w:rPr>
          <w:rFonts w:hint="eastAsia"/>
          <w:sz w:val="30"/>
          <w:szCs w:val="30"/>
        </w:rPr>
        <w:t>万元，开支内容包括：</w:t>
      </w:r>
      <w:r>
        <w:rPr>
          <w:rFonts w:hint="eastAsia" w:ascii="仿宋_GB2312" w:hAnsi="仿宋_GB2312" w:eastAsia="仿宋_GB2312" w:cs="仿宋_GB2312"/>
          <w:b w:val="0"/>
          <w:bCs w:val="0"/>
          <w:sz w:val="32"/>
          <w:szCs w:val="32"/>
          <w:lang w:val="en-US" w:eastAsia="zh-CN"/>
        </w:rPr>
        <w:t>无相关内容</w:t>
      </w:r>
      <w:r>
        <w:rPr>
          <w:rFonts w:hint="eastAsia"/>
          <w:sz w:val="30"/>
          <w:szCs w:val="30"/>
        </w:rPr>
        <w:t>。单位全年安排的因公出国（境）团组</w:t>
      </w:r>
      <w:r>
        <w:rPr>
          <w:rFonts w:hint="eastAsia"/>
          <w:sz w:val="30"/>
          <w:szCs w:val="30"/>
          <w:lang w:val="en-US"/>
        </w:rPr>
        <w:t>0</w:t>
      </w:r>
      <w:r>
        <w:rPr>
          <w:rFonts w:hint="eastAsia"/>
          <w:sz w:val="30"/>
          <w:szCs w:val="30"/>
        </w:rPr>
        <w:t>个，因公出国（境）</w:t>
      </w:r>
      <w:r>
        <w:rPr>
          <w:rFonts w:hint="eastAsia"/>
          <w:sz w:val="30"/>
          <w:szCs w:val="30"/>
          <w:lang w:val="en-US"/>
        </w:rPr>
        <w:t>0</w:t>
      </w:r>
      <w:r>
        <w:rPr>
          <w:rFonts w:hint="eastAsia"/>
          <w:sz w:val="30"/>
          <w:szCs w:val="30"/>
        </w:rPr>
        <w:t>人次。</w:t>
      </w:r>
    </w:p>
    <w:p>
      <w:pPr>
        <w:autoSpaceDE/>
        <w:autoSpaceDN/>
        <w:snapToGrid w:val="0"/>
        <w:spacing w:afterLines="50" w:line="500" w:lineRule="exact"/>
        <w:ind w:firstLine="660" w:firstLineChars="220"/>
        <w:jc w:val="both"/>
        <w:rPr>
          <w:sz w:val="30"/>
          <w:szCs w:val="30"/>
        </w:rPr>
      </w:pPr>
      <w:r>
        <w:rPr>
          <w:rFonts w:hint="eastAsia"/>
          <w:sz w:val="30"/>
          <w:szCs w:val="30"/>
        </w:rPr>
        <w:t>公务用车购置及运行维护费</w:t>
      </w:r>
      <w:r>
        <w:rPr>
          <w:rFonts w:hint="eastAsia"/>
          <w:sz w:val="30"/>
          <w:szCs w:val="30"/>
          <w:lang w:val="en-US"/>
        </w:rPr>
        <w:t>0.00</w:t>
      </w:r>
      <w:r>
        <w:rPr>
          <w:rFonts w:hint="eastAsia"/>
          <w:sz w:val="30"/>
          <w:szCs w:val="30"/>
        </w:rPr>
        <w:t>万元，其中，公务用车购置费</w:t>
      </w:r>
      <w:r>
        <w:rPr>
          <w:rFonts w:hint="eastAsia"/>
          <w:sz w:val="30"/>
          <w:szCs w:val="30"/>
          <w:lang w:val="en-US"/>
        </w:rPr>
        <w:t>0.00</w:t>
      </w:r>
      <w:r>
        <w:rPr>
          <w:rFonts w:hint="eastAsia"/>
          <w:sz w:val="30"/>
          <w:szCs w:val="30"/>
        </w:rPr>
        <w:t>万元，公务用车运行维护费</w:t>
      </w:r>
      <w:r>
        <w:rPr>
          <w:rFonts w:hint="eastAsia"/>
          <w:sz w:val="30"/>
          <w:szCs w:val="30"/>
          <w:lang w:val="en-US"/>
        </w:rPr>
        <w:t>0.00</w:t>
      </w:r>
      <w:r>
        <w:rPr>
          <w:rFonts w:hint="eastAsia"/>
          <w:sz w:val="30"/>
          <w:szCs w:val="30"/>
        </w:rPr>
        <w:t>万元。公务用车运行维护费开支内容包括</w:t>
      </w:r>
      <w:r>
        <w:rPr>
          <w:rFonts w:hint="eastAsia"/>
          <w:sz w:val="30"/>
          <w:szCs w:val="30"/>
          <w:lang w:eastAsia="zh-CN"/>
        </w:rPr>
        <w:t>：</w:t>
      </w:r>
      <w:r>
        <w:rPr>
          <w:rFonts w:hint="eastAsia" w:ascii="仿宋_GB2312" w:hAnsi="仿宋_GB2312" w:eastAsia="仿宋_GB2312" w:cs="仿宋_GB2312"/>
          <w:b w:val="0"/>
          <w:bCs w:val="0"/>
          <w:sz w:val="32"/>
          <w:szCs w:val="32"/>
          <w:lang w:val="en-US" w:eastAsia="zh-CN"/>
        </w:rPr>
        <w:t>无相关内容</w:t>
      </w:r>
      <w:r>
        <w:rPr>
          <w:rFonts w:hint="eastAsia"/>
          <w:sz w:val="30"/>
          <w:szCs w:val="30"/>
        </w:rPr>
        <w:t>。公务用车购置数</w:t>
      </w:r>
      <w:r>
        <w:rPr>
          <w:rFonts w:hint="eastAsia"/>
          <w:sz w:val="30"/>
          <w:szCs w:val="30"/>
          <w:lang w:val="en-US"/>
        </w:rPr>
        <w:t>0</w:t>
      </w:r>
      <w:r>
        <w:rPr>
          <w:rFonts w:hint="eastAsia"/>
          <w:sz w:val="30"/>
          <w:szCs w:val="30"/>
        </w:rPr>
        <w:t>辆，公务用车保有量</w:t>
      </w:r>
      <w:r>
        <w:rPr>
          <w:rFonts w:hint="eastAsia"/>
          <w:sz w:val="30"/>
          <w:szCs w:val="30"/>
          <w:lang w:val="en-US"/>
        </w:rPr>
        <w:t>4</w:t>
      </w:r>
      <w:r>
        <w:rPr>
          <w:rFonts w:hint="eastAsia"/>
          <w:sz w:val="30"/>
          <w:szCs w:val="30"/>
        </w:rPr>
        <w:t>辆。</w:t>
      </w:r>
    </w:p>
    <w:p>
      <w:pPr>
        <w:autoSpaceDE/>
        <w:autoSpaceDN/>
        <w:snapToGrid w:val="0"/>
        <w:spacing w:afterLines="50" w:line="500" w:lineRule="exact"/>
        <w:ind w:firstLine="660" w:firstLineChars="220"/>
        <w:jc w:val="both"/>
        <w:rPr>
          <w:sz w:val="30"/>
          <w:szCs w:val="30"/>
        </w:rPr>
      </w:pPr>
      <w:r>
        <w:rPr>
          <w:rFonts w:hint="eastAsia"/>
          <w:sz w:val="30"/>
          <w:szCs w:val="30"/>
        </w:rPr>
        <w:t>公务接待费</w:t>
      </w:r>
      <w:r>
        <w:rPr>
          <w:rFonts w:hint="eastAsia"/>
          <w:sz w:val="30"/>
          <w:szCs w:val="30"/>
          <w:lang w:val="en-US"/>
        </w:rPr>
        <w:t>0.00</w:t>
      </w:r>
      <w:r>
        <w:rPr>
          <w:rFonts w:hint="eastAsia"/>
          <w:sz w:val="30"/>
          <w:szCs w:val="30"/>
        </w:rPr>
        <w:t>万元，开支内容包括</w:t>
      </w:r>
      <w:r>
        <w:rPr>
          <w:rFonts w:hint="eastAsia"/>
          <w:sz w:val="30"/>
          <w:szCs w:val="30"/>
          <w:lang w:eastAsia="zh-CN"/>
        </w:rPr>
        <w:t>：</w:t>
      </w:r>
      <w:r>
        <w:rPr>
          <w:rFonts w:hint="eastAsia" w:ascii="仿宋_GB2312" w:hAnsi="仿宋_GB2312" w:eastAsia="仿宋_GB2312" w:cs="仿宋_GB2312"/>
          <w:b w:val="0"/>
          <w:bCs w:val="0"/>
          <w:sz w:val="32"/>
          <w:szCs w:val="32"/>
          <w:lang w:val="en-US" w:eastAsia="zh-CN"/>
        </w:rPr>
        <w:t>无相关内容</w:t>
      </w:r>
      <w:r>
        <w:rPr>
          <w:rFonts w:hint="eastAsia"/>
          <w:sz w:val="30"/>
          <w:szCs w:val="30"/>
        </w:rPr>
        <w:t>。单位全年安排的国内公务接待</w:t>
      </w:r>
      <w:r>
        <w:rPr>
          <w:rFonts w:hint="eastAsia"/>
          <w:sz w:val="30"/>
          <w:szCs w:val="30"/>
          <w:lang w:val="en-US"/>
        </w:rPr>
        <w:t>0</w:t>
      </w:r>
      <w:r>
        <w:rPr>
          <w:rFonts w:hint="eastAsia"/>
          <w:sz w:val="30"/>
          <w:szCs w:val="30"/>
        </w:rPr>
        <w:t>批次，</w:t>
      </w:r>
      <w:r>
        <w:rPr>
          <w:rFonts w:hint="eastAsia"/>
          <w:sz w:val="30"/>
          <w:szCs w:val="30"/>
          <w:lang w:val="en-US"/>
        </w:rPr>
        <w:t>0</w:t>
      </w:r>
      <w:r>
        <w:rPr>
          <w:rFonts w:hint="eastAsia"/>
          <w:sz w:val="30"/>
          <w:szCs w:val="30"/>
        </w:rPr>
        <w:t>人次。</w:t>
      </w:r>
    </w:p>
    <w:p>
      <w:pPr>
        <w:autoSpaceDE/>
        <w:autoSpaceDN/>
        <w:spacing w:afterLines="50" w:line="500" w:lineRule="exact"/>
        <w:ind w:firstLine="660" w:firstLineChars="220"/>
        <w:jc w:val="both"/>
        <w:rPr>
          <w:sz w:val="30"/>
          <w:szCs w:val="30"/>
          <w:lang w:val="en-US"/>
        </w:rPr>
      </w:pPr>
      <w:r>
        <w:rPr>
          <w:rFonts w:hint="eastAsia"/>
          <w:sz w:val="30"/>
          <w:szCs w:val="30"/>
        </w:rPr>
        <w:t>与年初预算数相比情况：一般公共预算“三公”经费支出年初预算数</w:t>
      </w:r>
      <w:r>
        <w:rPr>
          <w:rFonts w:hint="eastAsia"/>
          <w:sz w:val="30"/>
          <w:szCs w:val="30"/>
          <w:lang w:val="en-US"/>
        </w:rPr>
        <w:t>0.00</w:t>
      </w:r>
      <w:r>
        <w:rPr>
          <w:rFonts w:hint="eastAsia"/>
          <w:sz w:val="30"/>
          <w:szCs w:val="30"/>
        </w:rPr>
        <w:t>万元，决算数</w:t>
      </w:r>
      <w:r>
        <w:rPr>
          <w:rFonts w:hint="eastAsia"/>
          <w:sz w:val="30"/>
          <w:szCs w:val="30"/>
          <w:lang w:val="en-US"/>
        </w:rPr>
        <w:t>0.00</w:t>
      </w:r>
      <w:r>
        <w:rPr>
          <w:rFonts w:hint="eastAsia"/>
          <w:sz w:val="30"/>
          <w:szCs w:val="30"/>
        </w:rPr>
        <w:t>万元，预决算差异率</w:t>
      </w:r>
      <w:r>
        <w:rPr>
          <w:rFonts w:hint="eastAsia"/>
          <w:sz w:val="30"/>
          <w:szCs w:val="30"/>
          <w:lang w:val="en-US"/>
        </w:rPr>
        <w:t>0.00</w:t>
      </w:r>
      <w:r>
        <w:rPr>
          <w:rFonts w:hint="eastAsia"/>
          <w:sz w:val="30"/>
          <w:szCs w:val="30"/>
        </w:rPr>
        <w:t>%，主要原因是：本年该项无支出。</w:t>
      </w:r>
      <w:r>
        <w:rPr>
          <w:rFonts w:hint="eastAsia" w:cs="宋体"/>
          <w:sz w:val="30"/>
          <w:szCs w:val="30"/>
        </w:rPr>
        <w:t>其中：因公出国（境）费</w:t>
      </w:r>
      <w:r>
        <w:rPr>
          <w:rFonts w:hint="eastAsia"/>
          <w:sz w:val="30"/>
          <w:szCs w:val="30"/>
        </w:rPr>
        <w:t>预算数</w:t>
      </w:r>
      <w:r>
        <w:rPr>
          <w:rFonts w:hint="eastAsia"/>
          <w:sz w:val="30"/>
          <w:szCs w:val="30"/>
          <w:lang w:val="en-US"/>
        </w:rPr>
        <w:t>0.00</w:t>
      </w:r>
      <w:r>
        <w:rPr>
          <w:rFonts w:hint="eastAsia"/>
          <w:sz w:val="30"/>
          <w:szCs w:val="30"/>
        </w:rPr>
        <w:t>万元，决算数</w:t>
      </w:r>
      <w:r>
        <w:rPr>
          <w:rFonts w:hint="eastAsia"/>
          <w:sz w:val="30"/>
          <w:szCs w:val="30"/>
          <w:lang w:val="en-US"/>
        </w:rPr>
        <w:t>0.00</w:t>
      </w:r>
      <w:r>
        <w:rPr>
          <w:rFonts w:hint="eastAsia"/>
          <w:sz w:val="30"/>
          <w:szCs w:val="30"/>
        </w:rPr>
        <w:t>万元，预决算差异率</w:t>
      </w:r>
      <w:r>
        <w:rPr>
          <w:rFonts w:hint="eastAsia"/>
          <w:sz w:val="30"/>
          <w:szCs w:val="30"/>
          <w:lang w:val="en-US"/>
        </w:rPr>
        <w:t>0.00</w:t>
      </w:r>
      <w:r>
        <w:rPr>
          <w:rFonts w:hint="eastAsia"/>
          <w:sz w:val="30"/>
          <w:szCs w:val="30"/>
        </w:rPr>
        <w:t>%，主要原因是：本年该项无支出；</w:t>
      </w:r>
      <w:r>
        <w:rPr>
          <w:rFonts w:hint="eastAsia" w:cs="宋体"/>
          <w:sz w:val="30"/>
          <w:szCs w:val="30"/>
        </w:rPr>
        <w:t>公务用车购置</w:t>
      </w:r>
      <w:r>
        <w:rPr>
          <w:rFonts w:hint="eastAsia"/>
          <w:sz w:val="30"/>
          <w:szCs w:val="30"/>
        </w:rPr>
        <w:t>费预算数</w:t>
      </w:r>
      <w:r>
        <w:rPr>
          <w:rFonts w:hint="eastAsia"/>
          <w:sz w:val="30"/>
          <w:szCs w:val="30"/>
          <w:lang w:val="en-US"/>
        </w:rPr>
        <w:t>0.00</w:t>
      </w:r>
      <w:r>
        <w:rPr>
          <w:rFonts w:hint="eastAsia"/>
          <w:sz w:val="30"/>
          <w:szCs w:val="30"/>
        </w:rPr>
        <w:t>万元，决算数</w:t>
      </w:r>
      <w:r>
        <w:rPr>
          <w:rFonts w:hint="eastAsia"/>
          <w:sz w:val="30"/>
          <w:szCs w:val="30"/>
          <w:lang w:val="en-US"/>
        </w:rPr>
        <w:t>0.00</w:t>
      </w:r>
      <w:r>
        <w:rPr>
          <w:rFonts w:hint="eastAsia"/>
          <w:sz w:val="30"/>
          <w:szCs w:val="30"/>
        </w:rPr>
        <w:t>万元，预决算差异率</w:t>
      </w:r>
      <w:r>
        <w:rPr>
          <w:rFonts w:hint="eastAsia"/>
          <w:sz w:val="30"/>
          <w:szCs w:val="30"/>
          <w:lang w:val="en-US"/>
        </w:rPr>
        <w:t>0.00</w:t>
      </w:r>
      <w:r>
        <w:rPr>
          <w:rFonts w:hint="eastAsia"/>
          <w:sz w:val="30"/>
          <w:szCs w:val="30"/>
        </w:rPr>
        <w:t>%，主要原因是：本年该项无支出；</w:t>
      </w:r>
      <w:r>
        <w:rPr>
          <w:rFonts w:hint="eastAsia" w:cs="宋体"/>
          <w:sz w:val="30"/>
          <w:szCs w:val="30"/>
        </w:rPr>
        <w:t>公务用车运行费</w:t>
      </w:r>
      <w:r>
        <w:rPr>
          <w:rFonts w:hint="eastAsia"/>
          <w:sz w:val="30"/>
          <w:szCs w:val="30"/>
        </w:rPr>
        <w:t>预算数</w:t>
      </w:r>
      <w:r>
        <w:rPr>
          <w:rFonts w:hint="eastAsia"/>
          <w:sz w:val="30"/>
          <w:szCs w:val="30"/>
          <w:lang w:val="en-US"/>
        </w:rPr>
        <w:t>0.00</w:t>
      </w:r>
      <w:r>
        <w:rPr>
          <w:rFonts w:hint="eastAsia"/>
          <w:sz w:val="30"/>
          <w:szCs w:val="30"/>
        </w:rPr>
        <w:t>万元，决算数</w:t>
      </w:r>
      <w:r>
        <w:rPr>
          <w:rFonts w:hint="eastAsia"/>
          <w:sz w:val="30"/>
          <w:szCs w:val="30"/>
          <w:lang w:val="en-US"/>
        </w:rPr>
        <w:t>0.00</w:t>
      </w:r>
      <w:r>
        <w:rPr>
          <w:rFonts w:hint="eastAsia"/>
          <w:sz w:val="30"/>
          <w:szCs w:val="30"/>
        </w:rPr>
        <w:t>万元，预决算差异率</w:t>
      </w:r>
      <w:r>
        <w:rPr>
          <w:rFonts w:hint="eastAsia"/>
          <w:sz w:val="30"/>
          <w:szCs w:val="30"/>
          <w:lang w:val="en-US"/>
        </w:rPr>
        <w:t>0.00</w:t>
      </w:r>
      <w:r>
        <w:rPr>
          <w:rFonts w:hint="eastAsia"/>
          <w:sz w:val="30"/>
          <w:szCs w:val="30"/>
        </w:rPr>
        <w:t>%，主要原因是：</w:t>
      </w:r>
      <w:r>
        <w:rPr>
          <w:rFonts w:hint="eastAsia"/>
          <w:sz w:val="30"/>
          <w:szCs w:val="30"/>
          <w:lang w:val="en-US"/>
        </w:rPr>
        <w:t>在车辆运行方面，严格控制车辆成本，倡导节能减排</w:t>
      </w:r>
      <w:r>
        <w:rPr>
          <w:rFonts w:hint="eastAsia"/>
          <w:sz w:val="30"/>
          <w:szCs w:val="30"/>
        </w:rPr>
        <w:t>；</w:t>
      </w:r>
      <w:r>
        <w:rPr>
          <w:rFonts w:hint="eastAsia" w:cs="宋体"/>
          <w:sz w:val="30"/>
          <w:szCs w:val="30"/>
        </w:rPr>
        <w:t>公务接待费</w:t>
      </w:r>
      <w:r>
        <w:rPr>
          <w:rFonts w:hint="eastAsia"/>
          <w:sz w:val="30"/>
          <w:szCs w:val="30"/>
        </w:rPr>
        <w:t>预算数</w:t>
      </w:r>
      <w:r>
        <w:rPr>
          <w:rFonts w:hint="eastAsia"/>
          <w:sz w:val="30"/>
          <w:szCs w:val="30"/>
          <w:lang w:val="en-US"/>
        </w:rPr>
        <w:t>0.00</w:t>
      </w:r>
      <w:r>
        <w:rPr>
          <w:rFonts w:hint="eastAsia"/>
          <w:sz w:val="30"/>
          <w:szCs w:val="30"/>
        </w:rPr>
        <w:t>万元，决算数</w:t>
      </w:r>
      <w:r>
        <w:rPr>
          <w:rFonts w:hint="eastAsia"/>
          <w:sz w:val="30"/>
          <w:szCs w:val="30"/>
          <w:lang w:val="en-US"/>
        </w:rPr>
        <w:t>0.00</w:t>
      </w:r>
      <w:r>
        <w:rPr>
          <w:rFonts w:hint="eastAsia"/>
          <w:sz w:val="30"/>
          <w:szCs w:val="30"/>
        </w:rPr>
        <w:t>万元，预决算差异率</w:t>
      </w:r>
      <w:r>
        <w:rPr>
          <w:rFonts w:hint="eastAsia"/>
          <w:sz w:val="30"/>
          <w:szCs w:val="30"/>
          <w:lang w:val="en-US"/>
        </w:rPr>
        <w:t>0.00</w:t>
      </w:r>
      <w:r>
        <w:rPr>
          <w:rFonts w:hint="eastAsia"/>
          <w:sz w:val="30"/>
          <w:szCs w:val="30"/>
        </w:rPr>
        <w:t>%，主要原因是：本年该项无支出。</w:t>
      </w:r>
    </w:p>
    <w:p>
      <w:pPr>
        <w:pStyle w:val="2"/>
        <w:spacing w:afterLines="50" w:line="500" w:lineRule="exact"/>
        <w:ind w:left="0" w:right="419" w:firstLine="661" w:firstLineChars="255"/>
        <w:jc w:val="both"/>
        <w:rPr>
          <w:b/>
          <w:bCs/>
          <w:sz w:val="30"/>
          <w:szCs w:val="30"/>
        </w:rPr>
      </w:pPr>
      <w:r>
        <w:rPr>
          <w:b/>
          <w:bCs/>
          <w:spacing w:val="-21"/>
          <w:sz w:val="30"/>
          <w:szCs w:val="30"/>
        </w:rPr>
        <w:t>八、政府性基金预算财政拨款收入支出决算情况说明</w:t>
      </w:r>
    </w:p>
    <w:p>
      <w:pPr>
        <w:pStyle w:val="2"/>
        <w:spacing w:afterLines="50" w:line="500" w:lineRule="exact"/>
        <w:ind w:left="0" w:firstLine="660" w:firstLineChars="220"/>
        <w:jc w:val="both"/>
        <w:rPr>
          <w:sz w:val="30"/>
          <w:szCs w:val="30"/>
        </w:rPr>
      </w:pPr>
      <w:r>
        <w:rPr>
          <w:sz w:val="30"/>
          <w:szCs w:val="30"/>
        </w:rPr>
        <w:t>我单位本年度无政府性基金预算财政拨款收入支出，政府性基金预算财政拨款收入支出决算表为空表。</w:t>
      </w:r>
    </w:p>
    <w:p>
      <w:pPr>
        <w:pStyle w:val="2"/>
        <w:spacing w:afterLines="50" w:line="500" w:lineRule="exact"/>
        <w:ind w:left="0" w:firstLine="663" w:firstLineChars="220"/>
        <w:jc w:val="both"/>
        <w:rPr>
          <w:sz w:val="30"/>
          <w:szCs w:val="30"/>
        </w:rPr>
      </w:pPr>
      <w:bookmarkStart w:id="22" w:name="九、国有资本经营预算财政拨款收入支出决算情况说明"/>
      <w:bookmarkEnd w:id="22"/>
      <w:r>
        <w:rPr>
          <w:b/>
          <w:bCs/>
          <w:sz w:val="30"/>
          <w:szCs w:val="30"/>
        </w:rPr>
        <w:t>九、国有资本经营预算财政拨款收入支出决算情况说明</w:t>
      </w:r>
    </w:p>
    <w:p>
      <w:pPr>
        <w:pStyle w:val="2"/>
        <w:spacing w:afterLines="50" w:line="500" w:lineRule="exact"/>
        <w:ind w:left="0" w:firstLine="660" w:firstLineChars="220"/>
        <w:jc w:val="both"/>
        <w:rPr>
          <w:sz w:val="30"/>
          <w:szCs w:val="30"/>
        </w:rPr>
      </w:pPr>
      <w:r>
        <w:rPr>
          <w:sz w:val="30"/>
          <w:szCs w:val="30"/>
        </w:rPr>
        <w:t>我单位本年度无国有资本经营预算财政拨款收入支出，国有资本经营预算财政拨款收入支出决算表为空表。</w:t>
      </w:r>
    </w:p>
    <w:p>
      <w:pPr>
        <w:pStyle w:val="2"/>
        <w:spacing w:afterLines="50" w:line="500" w:lineRule="exact"/>
        <w:ind w:left="0" w:firstLine="663" w:firstLineChars="220"/>
        <w:jc w:val="both"/>
        <w:rPr>
          <w:b/>
          <w:bCs/>
          <w:sz w:val="30"/>
          <w:szCs w:val="30"/>
        </w:rPr>
      </w:pPr>
      <w:bookmarkStart w:id="23" w:name="_bookmark12"/>
      <w:bookmarkEnd w:id="23"/>
      <w:bookmarkStart w:id="24" w:name="十、其他重要事项的情况说明"/>
      <w:bookmarkEnd w:id="24"/>
      <w:r>
        <w:rPr>
          <w:b/>
          <w:bCs/>
          <w:sz w:val="30"/>
          <w:szCs w:val="30"/>
        </w:rPr>
        <w:t>十、其他重要事项的情况说明</w:t>
      </w:r>
    </w:p>
    <w:p>
      <w:pPr>
        <w:autoSpaceDE/>
        <w:autoSpaceDN/>
        <w:spacing w:afterLines="50" w:line="500" w:lineRule="exact"/>
        <w:ind w:firstLine="663" w:firstLineChars="220"/>
        <w:jc w:val="both"/>
        <w:outlineLvl w:val="2"/>
        <w:rPr>
          <w:b/>
          <w:bCs/>
          <w:sz w:val="30"/>
          <w:szCs w:val="30"/>
        </w:rPr>
      </w:pPr>
      <w:bookmarkStart w:id="25" w:name="_Toc14519"/>
      <w:bookmarkStart w:id="26" w:name="_Toc13105"/>
      <w:r>
        <w:rPr>
          <w:rFonts w:hint="eastAsia"/>
          <w:b/>
          <w:bCs/>
          <w:sz w:val="30"/>
          <w:szCs w:val="30"/>
        </w:rPr>
        <w:t>（一）机关运行经费支出情况</w:t>
      </w:r>
      <w:bookmarkEnd w:id="25"/>
      <w:bookmarkEnd w:id="26"/>
    </w:p>
    <w:p>
      <w:pPr>
        <w:autoSpaceDE/>
        <w:autoSpaceDN/>
        <w:spacing w:afterLines="50" w:line="500" w:lineRule="exact"/>
        <w:ind w:firstLine="600" w:firstLineChars="200"/>
        <w:jc w:val="both"/>
        <w:rPr>
          <w:sz w:val="30"/>
          <w:szCs w:val="30"/>
        </w:rPr>
      </w:pPr>
      <w:r>
        <w:rPr>
          <w:rFonts w:hint="eastAsia"/>
          <w:sz w:val="30"/>
          <w:szCs w:val="30"/>
          <w:lang w:val="en-US"/>
        </w:rPr>
        <w:t>2020年度新疆维吾尔自治区第一济困医院</w:t>
      </w:r>
      <w:r>
        <w:rPr>
          <w:rFonts w:hint="eastAsia"/>
          <w:sz w:val="30"/>
          <w:szCs w:val="30"/>
        </w:rPr>
        <w:t>日常公用经费</w:t>
      </w:r>
      <w:r>
        <w:rPr>
          <w:rFonts w:hint="eastAsia"/>
          <w:sz w:val="30"/>
          <w:szCs w:val="30"/>
          <w:lang w:val="en-US"/>
        </w:rPr>
        <w:t>330.31</w:t>
      </w:r>
      <w:r>
        <w:rPr>
          <w:rFonts w:hint="eastAsia"/>
          <w:sz w:val="30"/>
          <w:szCs w:val="30"/>
        </w:rPr>
        <w:t>万元，比上年增加83.75万元，增长</w:t>
      </w:r>
      <w:r>
        <w:rPr>
          <w:rFonts w:hint="eastAsia"/>
          <w:sz w:val="30"/>
          <w:szCs w:val="30"/>
          <w:lang w:val="en-US"/>
        </w:rPr>
        <w:t>33.97</w:t>
      </w:r>
      <w:r>
        <w:rPr>
          <w:rFonts w:hint="eastAsia"/>
          <w:sz w:val="30"/>
          <w:szCs w:val="30"/>
        </w:rPr>
        <w:t>%，主要原因是业务用房面积增加及正常公用经费增长等。</w:t>
      </w:r>
    </w:p>
    <w:p>
      <w:pPr>
        <w:pStyle w:val="2"/>
        <w:spacing w:afterLines="50" w:line="500" w:lineRule="exact"/>
        <w:ind w:left="0" w:firstLine="663" w:firstLineChars="220"/>
        <w:jc w:val="both"/>
        <w:rPr>
          <w:b/>
          <w:bCs/>
          <w:sz w:val="30"/>
          <w:szCs w:val="30"/>
        </w:rPr>
      </w:pPr>
      <w:bookmarkStart w:id="27" w:name="_bookmark13"/>
      <w:bookmarkEnd w:id="27"/>
      <w:r>
        <w:rPr>
          <w:b/>
          <w:bCs/>
          <w:sz w:val="30"/>
          <w:szCs w:val="30"/>
        </w:rPr>
        <w:t>（</w:t>
      </w:r>
      <w:bookmarkStart w:id="28" w:name="_bookmark14"/>
      <w:bookmarkEnd w:id="28"/>
      <w:r>
        <w:rPr>
          <w:rFonts w:hint="eastAsia"/>
          <w:b/>
          <w:bCs/>
          <w:sz w:val="30"/>
          <w:szCs w:val="30"/>
        </w:rPr>
        <w:t>二</w:t>
      </w:r>
      <w:r>
        <w:rPr>
          <w:b/>
          <w:bCs/>
          <w:sz w:val="30"/>
          <w:szCs w:val="30"/>
        </w:rPr>
        <w:t>）政府采购情况</w:t>
      </w:r>
    </w:p>
    <w:p>
      <w:pPr>
        <w:pStyle w:val="2"/>
        <w:spacing w:afterLines="50" w:line="500" w:lineRule="exact"/>
        <w:ind w:left="0" w:firstLine="660" w:firstLineChars="220"/>
        <w:jc w:val="both"/>
        <w:rPr>
          <w:sz w:val="30"/>
          <w:szCs w:val="30"/>
        </w:rPr>
      </w:pPr>
      <w:r>
        <w:rPr>
          <w:sz w:val="30"/>
          <w:szCs w:val="30"/>
        </w:rPr>
        <w:t>2020年度政府采购支出总额3,827.97万元，其中：政府采购货物支出3,827.97万元</w:t>
      </w:r>
      <w:r>
        <w:rPr>
          <w:rFonts w:hint="eastAsia"/>
          <w:sz w:val="30"/>
          <w:szCs w:val="30"/>
        </w:rPr>
        <w:t>、政府采购工程支出0</w:t>
      </w:r>
      <w:r>
        <w:rPr>
          <w:rFonts w:hint="eastAsia"/>
          <w:sz w:val="30"/>
          <w:szCs w:val="30"/>
          <w:lang w:val="en-US"/>
        </w:rPr>
        <w:t>.00</w:t>
      </w:r>
      <w:r>
        <w:rPr>
          <w:rFonts w:hint="eastAsia"/>
          <w:sz w:val="30"/>
          <w:szCs w:val="30"/>
        </w:rPr>
        <w:t>万元、政府采购服务支出0</w:t>
      </w:r>
      <w:r>
        <w:rPr>
          <w:rFonts w:hint="eastAsia"/>
          <w:sz w:val="30"/>
          <w:szCs w:val="30"/>
          <w:lang w:val="en-US"/>
        </w:rPr>
        <w:t>.00</w:t>
      </w:r>
      <w:r>
        <w:rPr>
          <w:rFonts w:hint="eastAsia"/>
          <w:sz w:val="30"/>
          <w:szCs w:val="30"/>
        </w:rPr>
        <w:t>万元</w:t>
      </w:r>
      <w:r>
        <w:rPr>
          <w:sz w:val="30"/>
          <w:szCs w:val="30"/>
        </w:rPr>
        <w:t>。</w:t>
      </w:r>
    </w:p>
    <w:p>
      <w:pPr>
        <w:spacing w:afterLines="50" w:line="500" w:lineRule="exact"/>
        <w:ind w:firstLine="660" w:firstLineChars="220"/>
        <w:rPr>
          <w:sz w:val="30"/>
          <w:szCs w:val="30"/>
        </w:rPr>
      </w:pPr>
      <w:bookmarkStart w:id="29" w:name="（二）国有资产占用情况说明"/>
      <w:bookmarkEnd w:id="29"/>
      <w:r>
        <w:rPr>
          <w:rFonts w:hint="eastAsia"/>
          <w:sz w:val="30"/>
          <w:szCs w:val="30"/>
        </w:rPr>
        <w:t>授予中小企业合同金额0</w:t>
      </w:r>
      <w:r>
        <w:rPr>
          <w:rFonts w:hint="eastAsia"/>
          <w:sz w:val="30"/>
          <w:szCs w:val="30"/>
          <w:lang w:val="en-US"/>
        </w:rPr>
        <w:t>.00</w:t>
      </w:r>
      <w:r>
        <w:rPr>
          <w:rFonts w:hint="eastAsia"/>
          <w:sz w:val="30"/>
          <w:szCs w:val="30"/>
        </w:rPr>
        <w:t>万元，占政府采购支出总额的0</w:t>
      </w:r>
      <w:r>
        <w:rPr>
          <w:rFonts w:hint="eastAsia"/>
          <w:sz w:val="30"/>
          <w:szCs w:val="30"/>
          <w:lang w:val="en-US"/>
        </w:rPr>
        <w:t>.00</w:t>
      </w:r>
      <w:r>
        <w:rPr>
          <w:rFonts w:hint="eastAsia"/>
          <w:sz w:val="30"/>
          <w:szCs w:val="30"/>
        </w:rPr>
        <w:t>%，其中：授予小微企业合同金额</w:t>
      </w:r>
      <w:r>
        <w:rPr>
          <w:rFonts w:hint="eastAsia"/>
          <w:sz w:val="30"/>
          <w:szCs w:val="30"/>
          <w:lang w:val="en-US"/>
        </w:rPr>
        <w:t>0.</w:t>
      </w:r>
      <w:r>
        <w:rPr>
          <w:rFonts w:hint="eastAsia"/>
          <w:sz w:val="30"/>
          <w:szCs w:val="30"/>
        </w:rPr>
        <w:t>0</w:t>
      </w:r>
      <w:r>
        <w:rPr>
          <w:rFonts w:hint="eastAsia"/>
          <w:sz w:val="30"/>
          <w:szCs w:val="30"/>
          <w:lang w:val="en-US"/>
        </w:rPr>
        <w:t>0</w:t>
      </w:r>
      <w:r>
        <w:rPr>
          <w:rFonts w:hint="eastAsia"/>
          <w:sz w:val="30"/>
          <w:szCs w:val="30"/>
        </w:rPr>
        <w:t>万元，占政府采购支出总额的0</w:t>
      </w:r>
      <w:r>
        <w:rPr>
          <w:rFonts w:hint="eastAsia"/>
          <w:sz w:val="30"/>
          <w:szCs w:val="30"/>
          <w:lang w:val="en-US"/>
        </w:rPr>
        <w:t>.00</w:t>
      </w:r>
      <w:r>
        <w:rPr>
          <w:rFonts w:hint="eastAsia"/>
          <w:sz w:val="30"/>
          <w:szCs w:val="30"/>
        </w:rPr>
        <w:t>%。</w:t>
      </w:r>
    </w:p>
    <w:p>
      <w:pPr>
        <w:pStyle w:val="2"/>
        <w:spacing w:afterLines="50" w:line="500" w:lineRule="exact"/>
        <w:ind w:left="0" w:firstLine="663" w:firstLineChars="220"/>
        <w:jc w:val="both"/>
        <w:rPr>
          <w:b/>
          <w:bCs/>
          <w:sz w:val="30"/>
          <w:szCs w:val="30"/>
        </w:rPr>
      </w:pPr>
      <w:r>
        <w:rPr>
          <w:b/>
          <w:bCs/>
          <w:sz w:val="30"/>
          <w:szCs w:val="30"/>
        </w:rPr>
        <w:t>（</w:t>
      </w:r>
      <w:r>
        <w:rPr>
          <w:rFonts w:hint="eastAsia"/>
          <w:b/>
          <w:bCs/>
          <w:sz w:val="30"/>
          <w:szCs w:val="30"/>
        </w:rPr>
        <w:t>三</w:t>
      </w:r>
      <w:r>
        <w:rPr>
          <w:b/>
          <w:bCs/>
          <w:sz w:val="30"/>
          <w:szCs w:val="30"/>
        </w:rPr>
        <w:t>）国有资产占用情况说明</w:t>
      </w:r>
    </w:p>
    <w:p>
      <w:pPr>
        <w:autoSpaceDE/>
        <w:autoSpaceDN/>
        <w:spacing w:afterLines="50" w:line="500" w:lineRule="exact"/>
        <w:ind w:firstLine="660" w:firstLineChars="220"/>
        <w:jc w:val="both"/>
        <w:rPr>
          <w:sz w:val="30"/>
          <w:szCs w:val="30"/>
        </w:rPr>
      </w:pPr>
      <w:r>
        <w:rPr>
          <w:rFonts w:hint="eastAsia"/>
          <w:sz w:val="30"/>
          <w:szCs w:val="30"/>
        </w:rPr>
        <w:t>截止</w:t>
      </w:r>
      <w:r>
        <w:rPr>
          <w:rFonts w:hint="eastAsia"/>
          <w:sz w:val="30"/>
          <w:szCs w:val="30"/>
          <w:lang w:val="en-US"/>
        </w:rPr>
        <w:t>2020</w:t>
      </w:r>
      <w:r>
        <w:rPr>
          <w:rFonts w:hint="eastAsia"/>
          <w:sz w:val="30"/>
          <w:szCs w:val="30"/>
        </w:rPr>
        <w:t>年12月31日，单位共有房屋</w:t>
      </w:r>
      <w:r>
        <w:rPr>
          <w:rFonts w:hint="eastAsia"/>
          <w:sz w:val="30"/>
          <w:szCs w:val="30"/>
          <w:lang w:val="en-US"/>
        </w:rPr>
        <w:t>40,224.06</w:t>
      </w:r>
      <w:r>
        <w:rPr>
          <w:rFonts w:hint="eastAsia"/>
          <w:sz w:val="30"/>
          <w:szCs w:val="30"/>
        </w:rPr>
        <w:t>平方米，价值</w:t>
      </w:r>
      <w:r>
        <w:rPr>
          <w:rFonts w:hint="eastAsia"/>
          <w:sz w:val="30"/>
          <w:szCs w:val="30"/>
          <w:lang w:val="en-US"/>
        </w:rPr>
        <w:t>16,596.36</w:t>
      </w:r>
      <w:r>
        <w:rPr>
          <w:rFonts w:hint="eastAsia"/>
          <w:sz w:val="30"/>
          <w:szCs w:val="30"/>
        </w:rPr>
        <w:t>万元。车辆</w:t>
      </w:r>
      <w:r>
        <w:rPr>
          <w:rFonts w:hint="eastAsia"/>
          <w:sz w:val="30"/>
          <w:szCs w:val="30"/>
          <w:lang w:val="en-US"/>
        </w:rPr>
        <w:t>10</w:t>
      </w:r>
      <w:r>
        <w:rPr>
          <w:rFonts w:hint="eastAsia"/>
          <w:sz w:val="30"/>
          <w:szCs w:val="30"/>
        </w:rPr>
        <w:t>辆，价值</w:t>
      </w:r>
      <w:r>
        <w:rPr>
          <w:rFonts w:hint="eastAsia"/>
          <w:sz w:val="30"/>
          <w:szCs w:val="30"/>
          <w:lang w:val="en-US"/>
        </w:rPr>
        <w:t>211.04</w:t>
      </w:r>
      <w:r>
        <w:rPr>
          <w:rFonts w:hint="eastAsia"/>
          <w:sz w:val="30"/>
          <w:szCs w:val="30"/>
        </w:rPr>
        <w:t>万元，其中：副部（省）级及以上领导用车</w:t>
      </w:r>
      <w:r>
        <w:rPr>
          <w:rFonts w:hint="eastAsia"/>
          <w:sz w:val="30"/>
          <w:szCs w:val="30"/>
          <w:lang w:val="en-US"/>
        </w:rPr>
        <w:t>0</w:t>
      </w:r>
      <w:r>
        <w:rPr>
          <w:rFonts w:hint="eastAsia"/>
          <w:sz w:val="30"/>
          <w:szCs w:val="30"/>
        </w:rPr>
        <w:t>辆、主要领导干部用车</w:t>
      </w:r>
      <w:r>
        <w:rPr>
          <w:rFonts w:hint="eastAsia"/>
          <w:sz w:val="30"/>
          <w:szCs w:val="30"/>
          <w:lang w:val="en-US"/>
        </w:rPr>
        <w:t>0</w:t>
      </w:r>
      <w:r>
        <w:rPr>
          <w:rFonts w:hint="eastAsia"/>
          <w:sz w:val="30"/>
          <w:szCs w:val="30"/>
        </w:rPr>
        <w:t>辆、机要通信用车</w:t>
      </w:r>
      <w:r>
        <w:rPr>
          <w:rFonts w:hint="eastAsia"/>
          <w:sz w:val="30"/>
          <w:szCs w:val="30"/>
          <w:lang w:val="en-US"/>
        </w:rPr>
        <w:t>0</w:t>
      </w:r>
      <w:r>
        <w:rPr>
          <w:rFonts w:hint="eastAsia"/>
          <w:sz w:val="30"/>
          <w:szCs w:val="30"/>
        </w:rPr>
        <w:t>辆、应急保障用车</w:t>
      </w:r>
      <w:r>
        <w:rPr>
          <w:rFonts w:hint="eastAsia"/>
          <w:sz w:val="30"/>
          <w:szCs w:val="30"/>
          <w:lang w:val="en-US"/>
        </w:rPr>
        <w:t>0</w:t>
      </w:r>
      <w:r>
        <w:rPr>
          <w:rFonts w:hint="eastAsia"/>
          <w:sz w:val="30"/>
          <w:szCs w:val="30"/>
        </w:rPr>
        <w:t>辆、执法执勤用车</w:t>
      </w:r>
      <w:r>
        <w:rPr>
          <w:rFonts w:hint="eastAsia"/>
          <w:sz w:val="30"/>
          <w:szCs w:val="30"/>
          <w:lang w:val="en-US"/>
        </w:rPr>
        <w:t>0</w:t>
      </w:r>
      <w:r>
        <w:rPr>
          <w:rFonts w:hint="eastAsia"/>
          <w:sz w:val="30"/>
          <w:szCs w:val="30"/>
        </w:rPr>
        <w:t>辆、特种专业技术用车</w:t>
      </w:r>
      <w:r>
        <w:rPr>
          <w:rFonts w:hint="eastAsia"/>
          <w:sz w:val="30"/>
          <w:szCs w:val="30"/>
          <w:lang w:val="en-US"/>
        </w:rPr>
        <w:t>1</w:t>
      </w:r>
      <w:r>
        <w:rPr>
          <w:rFonts w:hint="eastAsia"/>
          <w:sz w:val="30"/>
          <w:szCs w:val="30"/>
        </w:rPr>
        <w:t>辆、离退休干部用车</w:t>
      </w:r>
      <w:r>
        <w:rPr>
          <w:rFonts w:hint="eastAsia"/>
          <w:sz w:val="30"/>
          <w:szCs w:val="30"/>
          <w:lang w:val="en-US"/>
        </w:rPr>
        <w:t>0</w:t>
      </w:r>
      <w:r>
        <w:rPr>
          <w:rFonts w:hint="eastAsia"/>
          <w:sz w:val="30"/>
          <w:szCs w:val="30"/>
        </w:rPr>
        <w:t>辆、其他用车</w:t>
      </w:r>
      <w:r>
        <w:rPr>
          <w:rFonts w:hint="eastAsia"/>
          <w:sz w:val="30"/>
          <w:szCs w:val="30"/>
          <w:lang w:val="en-US"/>
        </w:rPr>
        <w:t>9</w:t>
      </w:r>
      <w:r>
        <w:rPr>
          <w:rFonts w:hint="eastAsia"/>
          <w:sz w:val="30"/>
          <w:szCs w:val="30"/>
        </w:rPr>
        <w:t>辆，其他用车主要是：</w:t>
      </w:r>
      <w:r>
        <w:rPr>
          <w:rFonts w:hint="eastAsia"/>
          <w:sz w:val="30"/>
          <w:szCs w:val="30"/>
          <w:lang w:val="en-US"/>
        </w:rPr>
        <w:t>2辆交通车，7辆小轿车</w:t>
      </w:r>
      <w:r>
        <w:rPr>
          <w:rFonts w:hint="eastAsia"/>
          <w:sz w:val="30"/>
          <w:szCs w:val="30"/>
        </w:rPr>
        <w:t>；单位价值50万元以上通用设备</w:t>
      </w:r>
      <w:r>
        <w:rPr>
          <w:rFonts w:hint="eastAsia"/>
          <w:sz w:val="30"/>
          <w:szCs w:val="30"/>
          <w:lang w:val="en-US"/>
        </w:rPr>
        <w:t>1</w:t>
      </w:r>
      <w:r>
        <w:rPr>
          <w:rFonts w:hint="eastAsia"/>
          <w:sz w:val="30"/>
          <w:szCs w:val="30"/>
        </w:rPr>
        <w:t>台（套）、单位价值100万元以上专用设备</w:t>
      </w:r>
      <w:r>
        <w:rPr>
          <w:rFonts w:hint="eastAsia"/>
          <w:sz w:val="30"/>
          <w:szCs w:val="30"/>
          <w:lang w:val="en-US"/>
        </w:rPr>
        <w:t>10</w:t>
      </w:r>
      <w:r>
        <w:rPr>
          <w:rFonts w:hint="eastAsia"/>
          <w:sz w:val="30"/>
          <w:szCs w:val="30"/>
        </w:rPr>
        <w:t>台（套）。</w:t>
      </w:r>
    </w:p>
    <w:p>
      <w:pPr>
        <w:pStyle w:val="2"/>
        <w:spacing w:afterLines="50" w:line="500" w:lineRule="exact"/>
        <w:ind w:left="0" w:firstLine="663" w:firstLineChars="220"/>
        <w:jc w:val="both"/>
        <w:rPr>
          <w:b/>
          <w:bCs/>
          <w:sz w:val="30"/>
          <w:szCs w:val="30"/>
        </w:rPr>
      </w:pPr>
      <w:bookmarkStart w:id="30" w:name="十一、预算绩效的情况说明"/>
      <w:bookmarkEnd w:id="30"/>
      <w:bookmarkStart w:id="31" w:name="_bookmark15"/>
      <w:bookmarkEnd w:id="31"/>
      <w:r>
        <w:rPr>
          <w:b/>
          <w:bCs/>
          <w:sz w:val="30"/>
          <w:szCs w:val="30"/>
        </w:rPr>
        <w:t>十一、预算绩效的情况说明</w:t>
      </w:r>
    </w:p>
    <w:p>
      <w:pPr>
        <w:pStyle w:val="2"/>
        <w:spacing w:afterLines="50" w:line="500" w:lineRule="exact"/>
        <w:ind w:left="0" w:firstLine="660" w:firstLineChars="220"/>
        <w:jc w:val="both"/>
        <w:rPr>
          <w:spacing w:val="11"/>
        </w:rPr>
      </w:pPr>
      <w:r>
        <w:rPr>
          <w:sz w:val="30"/>
          <w:szCs w:val="30"/>
        </w:rPr>
        <w:t>根据预算绩效管理要求，我单</w:t>
      </w:r>
      <w:r>
        <w:rPr>
          <w:rFonts w:hint="eastAsia"/>
          <w:sz w:val="30"/>
          <w:szCs w:val="30"/>
        </w:rPr>
        <w:t>位</w:t>
      </w:r>
      <w:r>
        <w:rPr>
          <w:sz w:val="30"/>
          <w:szCs w:val="30"/>
        </w:rPr>
        <w:t>202</w:t>
      </w:r>
      <w:r>
        <w:rPr>
          <w:rFonts w:hint="eastAsia"/>
          <w:sz w:val="30"/>
          <w:szCs w:val="30"/>
        </w:rPr>
        <w:t>0</w:t>
      </w:r>
      <w:r>
        <w:rPr>
          <w:sz w:val="30"/>
          <w:szCs w:val="30"/>
        </w:rPr>
        <w:t>年度开展预算绩</w:t>
      </w:r>
      <w:r>
        <w:rPr>
          <w:spacing w:val="-14"/>
          <w:sz w:val="30"/>
          <w:szCs w:val="30"/>
        </w:rPr>
        <w:t>效评价项目</w:t>
      </w:r>
      <w:r>
        <w:rPr>
          <w:rFonts w:hint="eastAsia"/>
          <w:sz w:val="30"/>
          <w:szCs w:val="30"/>
          <w:lang w:val="en-US"/>
        </w:rPr>
        <w:t>3</w:t>
      </w:r>
      <w:r>
        <w:rPr>
          <w:spacing w:val="-20"/>
          <w:sz w:val="30"/>
          <w:szCs w:val="30"/>
        </w:rPr>
        <w:t>个，共涉及资金</w:t>
      </w:r>
      <w:r>
        <w:rPr>
          <w:rFonts w:hint="eastAsia"/>
          <w:sz w:val="30"/>
          <w:szCs w:val="30"/>
          <w:lang w:val="en-US"/>
        </w:rPr>
        <w:t>9,897.63</w:t>
      </w:r>
      <w:r>
        <w:rPr>
          <w:spacing w:val="-12"/>
          <w:sz w:val="30"/>
          <w:szCs w:val="30"/>
        </w:rPr>
        <w:t>万元。预算绩效管</w:t>
      </w:r>
      <w:r>
        <w:rPr>
          <w:spacing w:val="-9"/>
          <w:sz w:val="30"/>
          <w:szCs w:val="30"/>
        </w:rPr>
        <w:t>理取得的成效：一是预算绩效管理全覆盖，成立了预算绩效</w:t>
      </w:r>
      <w:r>
        <w:rPr>
          <w:spacing w:val="-7"/>
          <w:sz w:val="30"/>
          <w:szCs w:val="30"/>
        </w:rPr>
        <w:t>工作小组，明确了绩效管理的工作职责，利用绩效管理监控</w:t>
      </w:r>
      <w:r>
        <w:rPr>
          <w:spacing w:val="-8"/>
          <w:sz w:val="30"/>
          <w:szCs w:val="30"/>
        </w:rPr>
        <w:t>系统对我单位的预算进行全过程跟踪；二是明确了工作绩效</w:t>
      </w:r>
      <w:r>
        <w:rPr>
          <w:spacing w:val="-5"/>
          <w:sz w:val="30"/>
          <w:szCs w:val="30"/>
        </w:rPr>
        <w:t>目标，从事前、事中、事后进行全面跟踪，发现问题能及时更正。发现的问题及原因：一是项目管理工作不足。部分资</w:t>
      </w:r>
      <w:r>
        <w:rPr>
          <w:spacing w:val="-6"/>
          <w:sz w:val="30"/>
          <w:szCs w:val="30"/>
        </w:rPr>
        <w:t>金的使用范围并不能把握到位，造成项目遇到各种不确定因</w:t>
      </w:r>
      <w:r>
        <w:rPr>
          <w:spacing w:val="-4"/>
          <w:sz w:val="30"/>
          <w:szCs w:val="30"/>
        </w:rPr>
        <w:t>素，财政资金无法发挥最大使用效益；二是预算绩效管理水</w:t>
      </w:r>
      <w:r>
        <w:rPr>
          <w:spacing w:val="-15"/>
          <w:w w:val="95"/>
          <w:sz w:val="30"/>
          <w:szCs w:val="30"/>
        </w:rPr>
        <w:t>平仍有欠缺，在预算绩效管理工作中，存在“重投入轻管理、</w:t>
      </w:r>
      <w:r>
        <w:rPr>
          <w:spacing w:val="-11"/>
          <w:sz w:val="30"/>
          <w:szCs w:val="30"/>
        </w:rPr>
        <w:t>重支出轻绩效”的情况，对全面实施预算绩效管理的要求认</w:t>
      </w:r>
      <w:r>
        <w:rPr>
          <w:spacing w:val="-8"/>
          <w:sz w:val="30"/>
          <w:szCs w:val="30"/>
        </w:rPr>
        <w:t>识还不到位，项目申报、实施等环节与预算绩效管理各个环节联系不够紧密。下一步改进措施：一是加强各科室及时对</w:t>
      </w:r>
      <w:r>
        <w:rPr>
          <w:spacing w:val="-7"/>
          <w:sz w:val="30"/>
          <w:szCs w:val="30"/>
        </w:rPr>
        <w:t>接项目实施，明确分工，协调专人负责该项工作；二是将进</w:t>
      </w:r>
      <w:r>
        <w:rPr>
          <w:spacing w:val="-8"/>
          <w:sz w:val="30"/>
          <w:szCs w:val="30"/>
        </w:rPr>
        <w:t>一步加强绩效管理工作人员的培训和学习工作；三是通过对每笔资金的细致化管理来保障资金使用的合规、合法性，并</w:t>
      </w:r>
      <w:r>
        <w:rPr>
          <w:spacing w:val="-9"/>
          <w:sz w:val="30"/>
          <w:szCs w:val="30"/>
        </w:rPr>
        <w:t>据此分析各类资金支出产生的效益，使本单位的绩效监控工</w:t>
      </w:r>
      <w:r>
        <w:rPr>
          <w:spacing w:val="11"/>
          <w:sz w:val="30"/>
          <w:szCs w:val="30"/>
        </w:rPr>
        <w:t>作上一个新台阶。具体项目自评</w:t>
      </w:r>
      <w:r>
        <w:rPr>
          <w:spacing w:val="11"/>
        </w:rPr>
        <w:t>情况附项目支出绩效自评表。</w:t>
      </w:r>
    </w:p>
    <w:p>
      <w:pPr>
        <w:pStyle w:val="2"/>
        <w:spacing w:afterLines="50" w:line="500" w:lineRule="exact"/>
        <w:ind w:left="0" w:firstLine="752" w:firstLineChars="220"/>
        <w:jc w:val="both"/>
        <w:rPr>
          <w:spacing w:val="11"/>
        </w:rPr>
      </w:pPr>
    </w:p>
    <w:p>
      <w:pPr>
        <w:pStyle w:val="2"/>
        <w:spacing w:afterLines="50" w:line="500" w:lineRule="exact"/>
        <w:ind w:left="0" w:firstLine="752" w:firstLineChars="220"/>
        <w:jc w:val="both"/>
        <w:rPr>
          <w:spacing w:val="11"/>
        </w:rPr>
      </w:pPr>
    </w:p>
    <w:p>
      <w:pPr>
        <w:pStyle w:val="2"/>
        <w:spacing w:afterLines="50" w:line="500" w:lineRule="exact"/>
        <w:ind w:left="0" w:firstLine="752" w:firstLineChars="220"/>
        <w:jc w:val="both"/>
        <w:rPr>
          <w:spacing w:val="11"/>
        </w:rPr>
      </w:pPr>
    </w:p>
    <w:p>
      <w:pPr>
        <w:pStyle w:val="2"/>
        <w:spacing w:afterLines="50" w:line="500" w:lineRule="exact"/>
        <w:ind w:left="0" w:firstLine="752" w:firstLineChars="220"/>
        <w:jc w:val="both"/>
        <w:rPr>
          <w:spacing w:val="11"/>
        </w:rPr>
      </w:pPr>
      <w:bookmarkStart w:id="50" w:name="_GoBack"/>
      <w:bookmarkEnd w:id="50"/>
    </w:p>
    <w:tbl>
      <w:tblPr>
        <w:tblStyle w:val="6"/>
        <w:tblW w:w="9900" w:type="dxa"/>
        <w:tblInd w:w="93" w:type="dxa"/>
        <w:tblLayout w:type="fixed"/>
        <w:tblCellMar>
          <w:top w:w="0" w:type="dxa"/>
          <w:left w:w="108" w:type="dxa"/>
          <w:bottom w:w="0" w:type="dxa"/>
          <w:right w:w="108" w:type="dxa"/>
        </w:tblCellMar>
      </w:tblPr>
      <w:tblGrid>
        <w:gridCol w:w="517"/>
        <w:gridCol w:w="755"/>
        <w:gridCol w:w="889"/>
        <w:gridCol w:w="2010"/>
        <w:gridCol w:w="1170"/>
        <w:gridCol w:w="1026"/>
        <w:gridCol w:w="12"/>
        <w:gridCol w:w="1021"/>
        <w:gridCol w:w="621"/>
        <w:gridCol w:w="678"/>
        <w:gridCol w:w="1201"/>
      </w:tblGrid>
      <w:tr>
        <w:tblPrEx>
          <w:tblCellMar>
            <w:top w:w="0" w:type="dxa"/>
            <w:left w:w="108" w:type="dxa"/>
            <w:bottom w:w="0" w:type="dxa"/>
            <w:right w:w="108" w:type="dxa"/>
          </w:tblCellMar>
        </w:tblPrEx>
        <w:trPr>
          <w:trHeight w:val="742" w:hRule="atLeast"/>
        </w:trPr>
        <w:tc>
          <w:tcPr>
            <w:tcW w:w="9900" w:type="dxa"/>
            <w:gridSpan w:val="11"/>
            <w:tcBorders>
              <w:top w:val="nil"/>
              <w:left w:val="nil"/>
              <w:bottom w:val="nil"/>
              <w:right w:val="nil"/>
            </w:tcBorders>
            <w:shd w:val="clear" w:color="auto" w:fill="auto"/>
            <w:vAlign w:val="center"/>
          </w:tcPr>
          <w:p>
            <w:pPr>
              <w:widowControl/>
              <w:jc w:val="center"/>
              <w:textAlignment w:val="center"/>
              <w:rPr>
                <w:rFonts w:ascii="方正小标宋_GBK" w:hAnsi="方正小标宋_GBK" w:eastAsia="方正小标宋_GBK" w:cs="方正小标宋_GBK"/>
                <w:b/>
                <w:bCs/>
                <w:color w:val="000000"/>
                <w:sz w:val="32"/>
                <w:szCs w:val="32"/>
              </w:rPr>
            </w:pPr>
            <w:bookmarkStart w:id="32" w:name="_bookmark16"/>
            <w:bookmarkEnd w:id="32"/>
            <w:bookmarkStart w:id="33" w:name="第三部分_专业名词解释"/>
            <w:bookmarkEnd w:id="33"/>
            <w:r>
              <w:rPr>
                <w:rFonts w:ascii="方正小标宋_GBK" w:hAnsi="方正小标宋_GBK" w:eastAsia="方正小标宋_GBK" w:cs="方正小标宋_GBK"/>
                <w:b/>
                <w:bCs/>
                <w:color w:val="000000"/>
                <w:sz w:val="32"/>
                <w:szCs w:val="32"/>
                <w:lang w:val="en-US"/>
              </w:rPr>
              <w:t xml:space="preserve">项目支出绩效自评表 </w:t>
            </w:r>
          </w:p>
        </w:tc>
      </w:tr>
      <w:tr>
        <w:tblPrEx>
          <w:tblCellMar>
            <w:top w:w="0" w:type="dxa"/>
            <w:left w:w="108" w:type="dxa"/>
            <w:bottom w:w="0" w:type="dxa"/>
            <w:right w:w="108" w:type="dxa"/>
          </w:tblCellMar>
        </w:tblPrEx>
        <w:trPr>
          <w:trHeight w:val="294" w:hRule="atLeast"/>
        </w:trPr>
        <w:tc>
          <w:tcPr>
            <w:tcW w:w="9900" w:type="dxa"/>
            <w:gridSpan w:val="11"/>
            <w:tcBorders>
              <w:top w:val="nil"/>
              <w:left w:val="nil"/>
              <w:bottom w:val="single" w:color="000000" w:sz="4" w:space="0"/>
              <w:right w:val="nil"/>
            </w:tcBorders>
            <w:shd w:val="clear" w:color="auto" w:fill="auto"/>
          </w:tcPr>
          <w:p>
            <w:pPr>
              <w:widowControl/>
              <w:jc w:val="center"/>
              <w:textAlignment w:val="top"/>
              <w:rPr>
                <w:rFonts w:ascii="宋体" w:hAnsi="宋体" w:eastAsia="宋体" w:cs="宋体"/>
                <w:color w:val="000000"/>
                <w:sz w:val="18"/>
                <w:szCs w:val="18"/>
              </w:rPr>
            </w:pPr>
            <w:r>
              <w:rPr>
                <w:rFonts w:hint="eastAsia" w:ascii="宋体" w:hAnsi="宋体" w:eastAsia="宋体" w:cs="宋体"/>
                <w:color w:val="000000"/>
                <w:sz w:val="18"/>
                <w:szCs w:val="18"/>
                <w:lang w:val="en-US"/>
              </w:rPr>
              <w:t>（2020年度）</w:t>
            </w:r>
          </w:p>
        </w:tc>
      </w:tr>
      <w:tr>
        <w:tblPrEx>
          <w:tblCellMar>
            <w:top w:w="0" w:type="dxa"/>
            <w:left w:w="108" w:type="dxa"/>
            <w:bottom w:w="0" w:type="dxa"/>
            <w:right w:w="108" w:type="dxa"/>
          </w:tblCellMar>
        </w:tblPrEx>
        <w:trPr>
          <w:trHeight w:val="414" w:hRule="atLeast"/>
        </w:trPr>
        <w:tc>
          <w:tcPr>
            <w:tcW w:w="216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项目名称</w:t>
            </w:r>
          </w:p>
        </w:tc>
        <w:tc>
          <w:tcPr>
            <w:tcW w:w="7739"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医院事业支出</w:t>
            </w:r>
          </w:p>
        </w:tc>
      </w:tr>
      <w:tr>
        <w:tblPrEx>
          <w:tblCellMar>
            <w:top w:w="0" w:type="dxa"/>
            <w:left w:w="108" w:type="dxa"/>
            <w:bottom w:w="0" w:type="dxa"/>
            <w:right w:w="108" w:type="dxa"/>
          </w:tblCellMar>
        </w:tblPrEx>
        <w:trPr>
          <w:trHeight w:val="384" w:hRule="atLeast"/>
        </w:trPr>
        <w:tc>
          <w:tcPr>
            <w:tcW w:w="216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主管部门</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自治区卫生健康委</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实施单位</w:t>
            </w:r>
          </w:p>
        </w:tc>
        <w:tc>
          <w:tcPr>
            <w:tcW w:w="353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新疆维吾尔自治区第一济困医院</w:t>
            </w:r>
          </w:p>
        </w:tc>
      </w:tr>
      <w:tr>
        <w:tblPrEx>
          <w:tblCellMar>
            <w:top w:w="0" w:type="dxa"/>
            <w:left w:w="108" w:type="dxa"/>
            <w:bottom w:w="0" w:type="dxa"/>
            <w:right w:w="108" w:type="dxa"/>
          </w:tblCellMar>
        </w:tblPrEx>
        <w:trPr>
          <w:trHeight w:val="530" w:hRule="atLeast"/>
        </w:trPr>
        <w:tc>
          <w:tcPr>
            <w:tcW w:w="2161"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项目资金（万元）</w:t>
            </w:r>
          </w:p>
        </w:tc>
        <w:tc>
          <w:tcPr>
            <w:tcW w:w="201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年初预算数</w:t>
            </w:r>
          </w:p>
        </w:tc>
        <w:tc>
          <w:tcPr>
            <w:tcW w:w="10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全年预算数</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全年执行数</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分值</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执行率</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得分</w:t>
            </w:r>
          </w:p>
        </w:tc>
      </w:tr>
      <w:tr>
        <w:tblPrEx>
          <w:tblCellMar>
            <w:top w:w="0" w:type="dxa"/>
            <w:left w:w="108" w:type="dxa"/>
            <w:bottom w:w="0" w:type="dxa"/>
            <w:right w:w="108" w:type="dxa"/>
          </w:tblCellMar>
        </w:tblPrEx>
        <w:trPr>
          <w:trHeight w:val="399" w:hRule="atLeast"/>
        </w:trPr>
        <w:tc>
          <w:tcPr>
            <w:tcW w:w="216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0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年度资金总额：</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10,109.36</w:t>
            </w:r>
          </w:p>
        </w:tc>
        <w:tc>
          <w:tcPr>
            <w:tcW w:w="10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lang w:val="en-US"/>
              </w:rPr>
            </w:pPr>
            <w:r>
              <w:rPr>
                <w:rFonts w:hint="eastAsia" w:ascii="宋体" w:hAnsi="宋体" w:eastAsia="宋体" w:cs="宋体"/>
                <w:color w:val="000000"/>
                <w:sz w:val="18"/>
                <w:szCs w:val="18"/>
                <w:lang w:val="en-US"/>
              </w:rPr>
              <w:t>10,109.36</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8,331.43</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82%</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8.20 </w:t>
            </w:r>
          </w:p>
        </w:tc>
      </w:tr>
      <w:tr>
        <w:tblPrEx>
          <w:tblCellMar>
            <w:top w:w="0" w:type="dxa"/>
            <w:left w:w="108" w:type="dxa"/>
            <w:bottom w:w="0" w:type="dxa"/>
            <w:right w:w="108" w:type="dxa"/>
          </w:tblCellMar>
        </w:tblPrEx>
        <w:trPr>
          <w:trHeight w:val="384" w:hRule="atLeast"/>
        </w:trPr>
        <w:tc>
          <w:tcPr>
            <w:tcW w:w="216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0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w:t>
            </w:r>
            <w:r>
              <w:rPr>
                <w:rStyle w:val="17"/>
                <w:rFonts w:hint="default"/>
                <w:lang w:val="en-US"/>
              </w:rPr>
              <w:t>其中：当年财政拨款</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0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4" w:hRule="atLeast"/>
        </w:trPr>
        <w:tc>
          <w:tcPr>
            <w:tcW w:w="216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0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w:t>
            </w:r>
            <w:r>
              <w:rPr>
                <w:rStyle w:val="17"/>
                <w:rFonts w:hint="default"/>
                <w:lang w:val="en-US"/>
              </w:rPr>
              <w:t xml:space="preserve">      上年结转资金</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0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419" w:hRule="atLeast"/>
        </w:trPr>
        <w:tc>
          <w:tcPr>
            <w:tcW w:w="216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0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w:t>
            </w:r>
            <w:r>
              <w:rPr>
                <w:rStyle w:val="17"/>
                <w:rFonts w:hint="default"/>
                <w:lang w:val="en-US"/>
              </w:rPr>
              <w:t xml:space="preserve">  其他资金</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10,109.36</w:t>
            </w:r>
          </w:p>
        </w:tc>
        <w:tc>
          <w:tcPr>
            <w:tcW w:w="103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10,109.36</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8,331.43</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82%</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r>
      <w:tr>
        <w:tblPrEx>
          <w:tblCellMar>
            <w:top w:w="0" w:type="dxa"/>
            <w:left w:w="108" w:type="dxa"/>
            <w:bottom w:w="0" w:type="dxa"/>
            <w:right w:w="108" w:type="dxa"/>
          </w:tblCellMar>
        </w:tblPrEx>
        <w:trPr>
          <w:trHeight w:val="399" w:hRule="atLeast"/>
        </w:trPr>
        <w:tc>
          <w:tcPr>
            <w:tcW w:w="5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年度总体目标</w:t>
            </w:r>
          </w:p>
        </w:tc>
        <w:tc>
          <w:tcPr>
            <w:tcW w:w="482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预期目标</w:t>
            </w:r>
          </w:p>
        </w:tc>
        <w:tc>
          <w:tcPr>
            <w:tcW w:w="455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实际完成情况</w:t>
            </w:r>
          </w:p>
        </w:tc>
      </w:tr>
      <w:tr>
        <w:tblPrEx>
          <w:tblCellMar>
            <w:top w:w="0" w:type="dxa"/>
            <w:left w:w="108" w:type="dxa"/>
            <w:bottom w:w="0" w:type="dxa"/>
            <w:right w:w="108" w:type="dxa"/>
          </w:tblCellMar>
        </w:tblPrEx>
        <w:trPr>
          <w:trHeight w:val="1255"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4824"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有效应对秋冬季新冠肺炎疫情，规范发热门诊设置，建立常态化传染病预防预警机制，全面落实“早发现、早报告、早隔离、早治疗”的工作要求，不断提高传染病防治能力，确实保障人民群众身体健康和生命安全。</w:t>
            </w:r>
          </w:p>
        </w:tc>
        <w:tc>
          <w:tcPr>
            <w:tcW w:w="455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规范我院发热门诊建设，实现我院发热门诊工作常态化，有效应对秋冬季新冠肺炎疫情的发生和蔓延，防止院内交叉感染。在新冠肺炎疫情期间及疫情结束后，实现所有发热病人就诊规范化。</w:t>
            </w:r>
          </w:p>
        </w:tc>
      </w:tr>
      <w:tr>
        <w:tblPrEx>
          <w:tblCellMar>
            <w:top w:w="0" w:type="dxa"/>
            <w:left w:w="108" w:type="dxa"/>
            <w:bottom w:w="0" w:type="dxa"/>
            <w:right w:w="108" w:type="dxa"/>
          </w:tblCellMar>
        </w:tblPrEx>
        <w:trPr>
          <w:trHeight w:val="3623" w:hRule="atLeast"/>
        </w:trPr>
        <w:tc>
          <w:tcPr>
            <w:tcW w:w="517"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绩效指标</w:t>
            </w: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一级</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指标</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二级指标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三级指标</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年度指标值</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实际完成值 </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分值</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得分</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偏差原因分析和改进措施（完全达到目标100%-80%，基本达到目标80%-60%，完全未达到目标60%-0%。正负指标超过20%填报）</w:t>
            </w:r>
          </w:p>
        </w:tc>
      </w:tr>
      <w:tr>
        <w:tblPrEx>
          <w:tblCellMar>
            <w:top w:w="0" w:type="dxa"/>
            <w:left w:w="108" w:type="dxa"/>
            <w:bottom w:w="0" w:type="dxa"/>
            <w:right w:w="108" w:type="dxa"/>
          </w:tblCellMar>
        </w:tblPrEx>
        <w:trPr>
          <w:trHeight w:val="348"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产</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出</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标（50分）</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数量指标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平均住院日</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≤10天</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9.64</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8"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质量指标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住院病历合格率</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≥90%</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91%</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8"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治愈好转率</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≥90%</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97.70%</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8"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门急诊处方合格率</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≥95%</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95.50%</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8"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入出院诊断符合率</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≥95%</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96%</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8"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成本指标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人员支出占业务支出</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≥35%</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40.56%</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530"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时效指标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门急诊服务窗口平均等候时间（分钟）</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≤10分钟</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3分钟</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951"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restar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效</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益</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标（30分）</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经济效益</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资产负债率</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≤50%</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51.06%</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0</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因我院新建门急诊综合楼投入使用，相关设施设备投入大，应付账款的付款周期增加，资金压力增加。而且今年受两次疫情的影响，收入负增长，造成资产负债率偏高。</w:t>
            </w:r>
          </w:p>
        </w:tc>
      </w:tr>
      <w:tr>
        <w:tblPrEx>
          <w:tblCellMar>
            <w:top w:w="0" w:type="dxa"/>
            <w:left w:w="108" w:type="dxa"/>
            <w:bottom w:w="0" w:type="dxa"/>
            <w:right w:w="108" w:type="dxa"/>
          </w:tblCellMar>
        </w:tblPrEx>
        <w:trPr>
          <w:trHeight w:val="530"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可持续影响指标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济困优惠政策履行情况</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1052" w:hRule="atLeast"/>
        </w:trPr>
        <w:tc>
          <w:tcPr>
            <w:tcW w:w="517"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5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满意度指标（10分）</w:t>
            </w:r>
          </w:p>
        </w:tc>
        <w:tc>
          <w:tcPr>
            <w:tcW w:w="8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服务对象</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满意度指标</w:t>
            </w:r>
          </w:p>
        </w:tc>
        <w:tc>
          <w:tcPr>
            <w:tcW w:w="31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医疗服务满意度</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≥90%</w:t>
            </w:r>
          </w:p>
        </w:tc>
        <w:tc>
          <w:tcPr>
            <w:tcW w:w="10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97.27%</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69" w:hRule="atLeast"/>
        </w:trPr>
        <w:tc>
          <w:tcPr>
            <w:tcW w:w="7400" w:type="dxa"/>
            <w:gridSpan w:val="8"/>
            <w:tcBorders>
              <w:top w:val="single" w:color="000000" w:sz="4" w:space="0"/>
              <w:left w:val="single" w:color="000000" w:sz="4" w:space="0"/>
              <w:bottom w:val="single" w:color="000000" w:sz="4" w:space="0"/>
              <w:right w:val="nil"/>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总分</w:t>
            </w:r>
          </w:p>
        </w:tc>
        <w:tc>
          <w:tcPr>
            <w:tcW w:w="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678" w:type="dxa"/>
            <w:tcBorders>
              <w:top w:val="single" w:color="000000" w:sz="4" w:space="0"/>
              <w:left w:val="nil"/>
              <w:bottom w:val="single" w:color="000000" w:sz="4" w:space="0"/>
              <w:right w:val="nil"/>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83.20 </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r>
    </w:tbl>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p>
      <w:pPr>
        <w:pStyle w:val="9"/>
        <w:spacing w:before="152"/>
        <w:ind w:left="0"/>
        <w:rPr>
          <w:sz w:val="18"/>
          <w:szCs w:val="18"/>
        </w:rPr>
      </w:pPr>
    </w:p>
    <w:tbl>
      <w:tblPr>
        <w:tblStyle w:val="6"/>
        <w:tblW w:w="9700" w:type="dxa"/>
        <w:tblInd w:w="93" w:type="dxa"/>
        <w:tblLayout w:type="fixed"/>
        <w:tblCellMar>
          <w:top w:w="0" w:type="dxa"/>
          <w:left w:w="108" w:type="dxa"/>
          <w:bottom w:w="0" w:type="dxa"/>
          <w:right w:w="108" w:type="dxa"/>
        </w:tblCellMar>
      </w:tblPr>
      <w:tblGrid>
        <w:gridCol w:w="505"/>
        <w:gridCol w:w="605"/>
        <w:gridCol w:w="941"/>
        <w:gridCol w:w="1840"/>
        <w:gridCol w:w="869"/>
        <w:gridCol w:w="1489"/>
        <w:gridCol w:w="1372"/>
        <w:gridCol w:w="548"/>
        <w:gridCol w:w="591"/>
        <w:gridCol w:w="940"/>
      </w:tblGrid>
      <w:tr>
        <w:tblPrEx>
          <w:tblCellMar>
            <w:top w:w="0" w:type="dxa"/>
            <w:left w:w="108" w:type="dxa"/>
            <w:bottom w:w="0" w:type="dxa"/>
            <w:right w:w="108" w:type="dxa"/>
          </w:tblCellMar>
        </w:tblPrEx>
        <w:trPr>
          <w:trHeight w:val="437" w:hRule="atLeast"/>
        </w:trPr>
        <w:tc>
          <w:tcPr>
            <w:tcW w:w="9700" w:type="dxa"/>
            <w:gridSpan w:val="10"/>
            <w:tcBorders>
              <w:top w:val="nil"/>
              <w:left w:val="nil"/>
              <w:bottom w:val="nil"/>
              <w:right w:val="nil"/>
            </w:tcBorders>
            <w:shd w:val="clear" w:color="auto" w:fill="auto"/>
            <w:vAlign w:val="center"/>
          </w:tcPr>
          <w:p>
            <w:pPr>
              <w:widowControl/>
              <w:jc w:val="center"/>
              <w:textAlignment w:val="center"/>
              <w:rPr>
                <w:rFonts w:ascii="方正小标宋_GBK" w:hAnsi="方正小标宋_GBK" w:eastAsia="方正小标宋_GBK" w:cs="方正小标宋_GBK"/>
                <w:b/>
                <w:bCs/>
                <w:color w:val="000000"/>
                <w:sz w:val="32"/>
                <w:szCs w:val="32"/>
              </w:rPr>
            </w:pPr>
            <w:r>
              <w:rPr>
                <w:rFonts w:ascii="方正小标宋_GBK" w:hAnsi="方正小标宋_GBK" w:eastAsia="方正小标宋_GBK" w:cs="方正小标宋_GBK"/>
                <w:b/>
                <w:bCs/>
                <w:color w:val="000000"/>
                <w:sz w:val="32"/>
                <w:szCs w:val="32"/>
                <w:lang w:val="en-US"/>
              </w:rPr>
              <w:t xml:space="preserve">项目支出绩效自评表 </w:t>
            </w:r>
          </w:p>
        </w:tc>
      </w:tr>
      <w:tr>
        <w:tblPrEx>
          <w:tblCellMar>
            <w:top w:w="0" w:type="dxa"/>
            <w:left w:w="108" w:type="dxa"/>
            <w:bottom w:w="0" w:type="dxa"/>
            <w:right w:w="108" w:type="dxa"/>
          </w:tblCellMar>
        </w:tblPrEx>
        <w:trPr>
          <w:trHeight w:val="200" w:hRule="atLeast"/>
        </w:trPr>
        <w:tc>
          <w:tcPr>
            <w:tcW w:w="9700" w:type="dxa"/>
            <w:gridSpan w:val="10"/>
            <w:tcBorders>
              <w:top w:val="nil"/>
              <w:left w:val="nil"/>
              <w:bottom w:val="single" w:color="000000" w:sz="4" w:space="0"/>
              <w:right w:val="nil"/>
            </w:tcBorders>
            <w:shd w:val="clear" w:color="auto" w:fill="auto"/>
          </w:tcPr>
          <w:p>
            <w:pPr>
              <w:widowControl/>
              <w:jc w:val="center"/>
              <w:textAlignment w:val="top"/>
              <w:rPr>
                <w:rFonts w:ascii="宋体" w:hAnsi="宋体" w:eastAsia="宋体" w:cs="宋体"/>
                <w:color w:val="000000"/>
                <w:sz w:val="18"/>
                <w:szCs w:val="18"/>
              </w:rPr>
            </w:pPr>
            <w:r>
              <w:rPr>
                <w:rFonts w:hint="eastAsia" w:ascii="宋体" w:hAnsi="宋体" w:eastAsia="宋体" w:cs="宋体"/>
                <w:color w:val="000000"/>
                <w:sz w:val="18"/>
                <w:szCs w:val="18"/>
                <w:lang w:val="en-US"/>
              </w:rPr>
              <w:t>（2020年度）</w:t>
            </w:r>
          </w:p>
        </w:tc>
      </w:tr>
      <w:tr>
        <w:tblPrEx>
          <w:tblCellMar>
            <w:top w:w="0" w:type="dxa"/>
            <w:left w:w="108" w:type="dxa"/>
            <w:bottom w:w="0" w:type="dxa"/>
            <w:right w:w="108" w:type="dxa"/>
          </w:tblCellMar>
        </w:tblPrEx>
        <w:trPr>
          <w:trHeight w:val="207" w:hRule="atLeast"/>
        </w:trPr>
        <w:tc>
          <w:tcPr>
            <w:tcW w:w="205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项目名称</w:t>
            </w:r>
          </w:p>
        </w:tc>
        <w:tc>
          <w:tcPr>
            <w:tcW w:w="7649"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医疗济困服务专项资金</w:t>
            </w:r>
          </w:p>
        </w:tc>
      </w:tr>
      <w:tr>
        <w:tblPrEx>
          <w:tblCellMar>
            <w:top w:w="0" w:type="dxa"/>
            <w:left w:w="108" w:type="dxa"/>
            <w:bottom w:w="0" w:type="dxa"/>
            <w:right w:w="108" w:type="dxa"/>
          </w:tblCellMar>
        </w:tblPrEx>
        <w:trPr>
          <w:trHeight w:val="207" w:hRule="atLeast"/>
        </w:trPr>
        <w:tc>
          <w:tcPr>
            <w:tcW w:w="205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主管部门</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自治区卫生健康委</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实施单位</w:t>
            </w:r>
          </w:p>
        </w:tc>
        <w:tc>
          <w:tcPr>
            <w:tcW w:w="345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新疆维吾尔自治区第一济困医院</w:t>
            </w:r>
          </w:p>
        </w:tc>
      </w:tr>
      <w:tr>
        <w:tblPrEx>
          <w:tblCellMar>
            <w:top w:w="0" w:type="dxa"/>
            <w:left w:w="108" w:type="dxa"/>
            <w:bottom w:w="0" w:type="dxa"/>
            <w:right w:w="108" w:type="dxa"/>
          </w:tblCellMar>
        </w:tblPrEx>
        <w:trPr>
          <w:trHeight w:val="374" w:hRule="atLeast"/>
        </w:trPr>
        <w:tc>
          <w:tcPr>
            <w:tcW w:w="2051"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项目资金（万元）</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8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年初预算数</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全年预算数</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全年执行数</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分值</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执行率</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得分</w:t>
            </w:r>
          </w:p>
        </w:tc>
      </w:tr>
      <w:tr>
        <w:tblPrEx>
          <w:tblCellMar>
            <w:top w:w="0" w:type="dxa"/>
            <w:left w:w="108" w:type="dxa"/>
            <w:bottom w:w="0" w:type="dxa"/>
            <w:right w:w="108" w:type="dxa"/>
          </w:tblCellMar>
        </w:tblPrEx>
        <w:trPr>
          <w:trHeight w:val="207" w:hRule="atLeast"/>
        </w:trPr>
        <w:tc>
          <w:tcPr>
            <w:tcW w:w="20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年度资金总额：</w:t>
            </w:r>
          </w:p>
        </w:tc>
        <w:tc>
          <w:tcPr>
            <w:tcW w:w="8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r>
      <w:tr>
        <w:tblPrEx>
          <w:tblCellMar>
            <w:top w:w="0" w:type="dxa"/>
            <w:left w:w="108" w:type="dxa"/>
            <w:bottom w:w="0" w:type="dxa"/>
            <w:right w:w="108" w:type="dxa"/>
          </w:tblCellMar>
        </w:tblPrEx>
        <w:trPr>
          <w:trHeight w:val="349" w:hRule="atLeast"/>
        </w:trPr>
        <w:tc>
          <w:tcPr>
            <w:tcW w:w="20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其中：当年财政拨款</w:t>
            </w:r>
          </w:p>
        </w:tc>
        <w:tc>
          <w:tcPr>
            <w:tcW w:w="8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49" w:hRule="atLeast"/>
        </w:trPr>
        <w:tc>
          <w:tcPr>
            <w:tcW w:w="20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上年结转资金</w:t>
            </w:r>
          </w:p>
        </w:tc>
        <w:tc>
          <w:tcPr>
            <w:tcW w:w="8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207" w:hRule="atLeast"/>
        </w:trPr>
        <w:tc>
          <w:tcPr>
            <w:tcW w:w="20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其他资金</w:t>
            </w:r>
          </w:p>
        </w:tc>
        <w:tc>
          <w:tcPr>
            <w:tcW w:w="86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r>
      <w:tr>
        <w:tblPrEx>
          <w:tblCellMar>
            <w:top w:w="0" w:type="dxa"/>
            <w:left w:w="108" w:type="dxa"/>
            <w:bottom w:w="0" w:type="dxa"/>
            <w:right w:w="108" w:type="dxa"/>
          </w:tblCellMar>
        </w:tblPrEx>
        <w:trPr>
          <w:trHeight w:val="207" w:hRule="atLeast"/>
        </w:trPr>
        <w:tc>
          <w:tcPr>
            <w:tcW w:w="5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年度总体目标</w:t>
            </w:r>
          </w:p>
        </w:tc>
        <w:tc>
          <w:tcPr>
            <w:tcW w:w="425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预期目标</w:t>
            </w:r>
          </w:p>
        </w:tc>
        <w:tc>
          <w:tcPr>
            <w:tcW w:w="494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实际完成情况</w:t>
            </w:r>
          </w:p>
        </w:tc>
      </w:tr>
      <w:tr>
        <w:tblPrEx>
          <w:tblCellMar>
            <w:top w:w="0" w:type="dxa"/>
            <w:left w:w="108" w:type="dxa"/>
            <w:bottom w:w="0" w:type="dxa"/>
            <w:right w:w="108" w:type="dxa"/>
          </w:tblCellMar>
        </w:tblPrEx>
        <w:trPr>
          <w:trHeight w:val="899"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425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严格按照政府对济困医院的补助原则使用该资金，在一定程度上缓解城镇困难群众就医困难问题，促进医院济困卫生事业的发展。</w:t>
            </w:r>
          </w:p>
        </w:tc>
        <w:tc>
          <w:tcPr>
            <w:tcW w:w="494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严格按照年初预定目标执行</w:t>
            </w:r>
          </w:p>
        </w:tc>
      </w:tr>
      <w:tr>
        <w:tblPrEx>
          <w:tblCellMar>
            <w:top w:w="0" w:type="dxa"/>
            <w:left w:w="108" w:type="dxa"/>
            <w:bottom w:w="0" w:type="dxa"/>
            <w:right w:w="108" w:type="dxa"/>
          </w:tblCellMar>
        </w:tblPrEx>
        <w:trPr>
          <w:trHeight w:val="3485" w:hRule="atLeast"/>
        </w:trPr>
        <w:tc>
          <w:tcPr>
            <w:tcW w:w="505"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绩效指标</w:t>
            </w: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一级</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指标</w:t>
            </w:r>
          </w:p>
        </w:tc>
        <w:tc>
          <w:tcPr>
            <w:tcW w:w="9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二级指标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三级指标</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年度指标值</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实际完成值 </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分值</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得分</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偏差原因分析和改进措施（完全达到目标100%-80%，基本达到目标80%-60%，完全未达到目标60%-0%。正负指标超过20%填报）</w:t>
            </w:r>
          </w:p>
        </w:tc>
      </w:tr>
      <w:tr>
        <w:tblPrEx>
          <w:tblCellMar>
            <w:top w:w="0" w:type="dxa"/>
            <w:left w:w="108" w:type="dxa"/>
            <w:bottom w:w="0" w:type="dxa"/>
            <w:right w:w="108" w:type="dxa"/>
          </w:tblCellMar>
        </w:tblPrEx>
        <w:trPr>
          <w:trHeight w:val="251"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产</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出</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标（50分）</w:t>
            </w:r>
          </w:p>
        </w:tc>
        <w:tc>
          <w:tcPr>
            <w:tcW w:w="9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数量指标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济困病人救助门诊人次</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≤8000人</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8492</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251"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济困病人救助住院人次</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≤3000人</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2028</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251"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质量指标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特困患者诊疗率</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≥90%</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251"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项目资金使用合规率</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251"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项目完成率</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251"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成本指标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项目支出成本（单位万元）</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303</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74"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时效指标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年度计划完成时限</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2020年12月31日</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2020年12月31日</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74"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restar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效</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益</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标（30分）</w:t>
            </w:r>
          </w:p>
        </w:tc>
        <w:tc>
          <w:tcPr>
            <w:tcW w:w="9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社会效益</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缓解辖区城镇困难群众“看病难、看病贵”的问题</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基本得以缓解</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基本得以缓解</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732"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9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可持续影响指标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济困优惠政策履行情况</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923" w:hRule="atLeast"/>
        </w:trPr>
        <w:tc>
          <w:tcPr>
            <w:tcW w:w="505"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6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满意度指标（10分）</w:t>
            </w:r>
          </w:p>
        </w:tc>
        <w:tc>
          <w:tcPr>
            <w:tcW w:w="9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服务对象</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满意度指标</w:t>
            </w:r>
          </w:p>
        </w:tc>
        <w:tc>
          <w:tcPr>
            <w:tcW w:w="27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患者满意度</w:t>
            </w:r>
          </w:p>
        </w:tc>
        <w:tc>
          <w:tcPr>
            <w:tcW w:w="14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&gt;90%</w:t>
            </w:r>
          </w:p>
        </w:tc>
        <w:tc>
          <w:tcPr>
            <w:tcW w:w="137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95%</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81" w:hRule="atLeast"/>
        </w:trPr>
        <w:tc>
          <w:tcPr>
            <w:tcW w:w="7621" w:type="dxa"/>
            <w:gridSpan w:val="7"/>
            <w:tcBorders>
              <w:top w:val="single" w:color="000000" w:sz="4" w:space="0"/>
              <w:left w:val="single" w:color="000000" w:sz="4" w:space="0"/>
              <w:bottom w:val="single" w:color="000000" w:sz="4" w:space="0"/>
              <w:right w:val="nil"/>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总分</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91" w:type="dxa"/>
            <w:tcBorders>
              <w:top w:val="single" w:color="000000" w:sz="4" w:space="0"/>
              <w:left w:val="nil"/>
              <w:bottom w:val="single" w:color="000000" w:sz="4" w:space="0"/>
              <w:right w:val="nil"/>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r>
    </w:tbl>
    <w:p>
      <w:pPr>
        <w:pStyle w:val="9"/>
        <w:spacing w:before="152"/>
        <w:ind w:left="0"/>
      </w:pPr>
    </w:p>
    <w:tbl>
      <w:tblPr>
        <w:tblStyle w:val="6"/>
        <w:tblW w:w="10019" w:type="dxa"/>
        <w:tblInd w:w="93" w:type="dxa"/>
        <w:tblLayout w:type="fixed"/>
        <w:tblCellMar>
          <w:top w:w="0" w:type="dxa"/>
          <w:left w:w="108" w:type="dxa"/>
          <w:bottom w:w="0" w:type="dxa"/>
          <w:right w:w="108" w:type="dxa"/>
        </w:tblCellMar>
      </w:tblPr>
      <w:tblGrid>
        <w:gridCol w:w="513"/>
        <w:gridCol w:w="731"/>
        <w:gridCol w:w="724"/>
        <w:gridCol w:w="1856"/>
        <w:gridCol w:w="1365"/>
        <w:gridCol w:w="1185"/>
        <w:gridCol w:w="1245"/>
        <w:gridCol w:w="510"/>
        <w:gridCol w:w="675"/>
        <w:gridCol w:w="1215"/>
      </w:tblGrid>
      <w:tr>
        <w:tblPrEx>
          <w:tblCellMar>
            <w:top w:w="0" w:type="dxa"/>
            <w:left w:w="108" w:type="dxa"/>
            <w:bottom w:w="0" w:type="dxa"/>
            <w:right w:w="108" w:type="dxa"/>
          </w:tblCellMar>
        </w:tblPrEx>
        <w:trPr>
          <w:trHeight w:val="435" w:hRule="atLeast"/>
        </w:trPr>
        <w:tc>
          <w:tcPr>
            <w:tcW w:w="10019" w:type="dxa"/>
            <w:gridSpan w:val="10"/>
            <w:tcBorders>
              <w:top w:val="nil"/>
              <w:left w:val="nil"/>
              <w:bottom w:val="nil"/>
              <w:right w:val="nil"/>
            </w:tcBorders>
            <w:shd w:val="clear" w:color="auto" w:fill="auto"/>
            <w:vAlign w:val="center"/>
          </w:tcPr>
          <w:p>
            <w:pPr>
              <w:widowControl/>
              <w:jc w:val="center"/>
              <w:textAlignment w:val="center"/>
              <w:rPr>
                <w:rFonts w:ascii="方正小标宋_GBK" w:hAnsi="方正小标宋_GBK" w:eastAsia="方正小标宋_GBK" w:cs="方正小标宋_GBK"/>
                <w:b/>
                <w:bCs/>
                <w:color w:val="000000"/>
                <w:sz w:val="32"/>
                <w:szCs w:val="32"/>
              </w:rPr>
            </w:pPr>
            <w:r>
              <w:rPr>
                <w:rFonts w:ascii="方正小标宋_GBK" w:hAnsi="方正小标宋_GBK" w:eastAsia="方正小标宋_GBK" w:cs="方正小标宋_GBK"/>
                <w:b/>
                <w:bCs/>
                <w:color w:val="000000"/>
                <w:sz w:val="32"/>
                <w:szCs w:val="32"/>
                <w:lang w:val="en-US"/>
              </w:rPr>
              <w:t xml:space="preserve">项目支出绩效自评表 </w:t>
            </w:r>
          </w:p>
        </w:tc>
      </w:tr>
      <w:tr>
        <w:tblPrEx>
          <w:tblCellMar>
            <w:top w:w="0" w:type="dxa"/>
            <w:left w:w="108" w:type="dxa"/>
            <w:bottom w:w="0" w:type="dxa"/>
            <w:right w:w="108" w:type="dxa"/>
          </w:tblCellMar>
        </w:tblPrEx>
        <w:trPr>
          <w:trHeight w:val="270" w:hRule="atLeast"/>
        </w:trPr>
        <w:tc>
          <w:tcPr>
            <w:tcW w:w="10019" w:type="dxa"/>
            <w:gridSpan w:val="10"/>
            <w:tcBorders>
              <w:top w:val="nil"/>
              <w:left w:val="nil"/>
              <w:bottom w:val="single" w:color="000000" w:sz="4" w:space="0"/>
              <w:right w:val="nil"/>
            </w:tcBorders>
            <w:shd w:val="clear" w:color="auto" w:fill="auto"/>
          </w:tcPr>
          <w:p>
            <w:pPr>
              <w:widowControl/>
              <w:jc w:val="center"/>
              <w:textAlignment w:val="top"/>
              <w:rPr>
                <w:rFonts w:ascii="宋体" w:hAnsi="宋体" w:eastAsia="宋体" w:cs="宋体"/>
                <w:color w:val="000000"/>
                <w:sz w:val="18"/>
                <w:szCs w:val="18"/>
              </w:rPr>
            </w:pPr>
            <w:r>
              <w:rPr>
                <w:rFonts w:hint="eastAsia" w:ascii="宋体" w:hAnsi="宋体" w:eastAsia="宋体" w:cs="宋体"/>
                <w:color w:val="000000"/>
                <w:sz w:val="18"/>
                <w:szCs w:val="18"/>
                <w:lang w:val="en-US"/>
              </w:rPr>
              <w:t>（2020年度）</w:t>
            </w:r>
          </w:p>
        </w:tc>
      </w:tr>
      <w:tr>
        <w:tblPrEx>
          <w:tblCellMar>
            <w:top w:w="0" w:type="dxa"/>
            <w:left w:w="108" w:type="dxa"/>
            <w:bottom w:w="0" w:type="dxa"/>
            <w:right w:w="108" w:type="dxa"/>
          </w:tblCellMar>
        </w:tblPrEx>
        <w:trPr>
          <w:trHeight w:val="300" w:hRule="atLeast"/>
        </w:trPr>
        <w:tc>
          <w:tcPr>
            <w:tcW w:w="19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项目名称</w:t>
            </w:r>
          </w:p>
        </w:tc>
        <w:tc>
          <w:tcPr>
            <w:tcW w:w="8051"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医院政府采购</w:t>
            </w:r>
          </w:p>
        </w:tc>
      </w:tr>
      <w:tr>
        <w:tblPrEx>
          <w:tblCellMar>
            <w:top w:w="0" w:type="dxa"/>
            <w:left w:w="108" w:type="dxa"/>
            <w:bottom w:w="0" w:type="dxa"/>
            <w:right w:w="108" w:type="dxa"/>
          </w:tblCellMar>
        </w:tblPrEx>
        <w:trPr>
          <w:trHeight w:val="300" w:hRule="atLeast"/>
        </w:trPr>
        <w:tc>
          <w:tcPr>
            <w:tcW w:w="19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主管部门</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自治区卫生健康委</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实施单位</w:t>
            </w:r>
          </w:p>
        </w:tc>
        <w:tc>
          <w:tcPr>
            <w:tcW w:w="364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新疆维吾尔自治区第一济困医院</w:t>
            </w:r>
          </w:p>
        </w:tc>
      </w:tr>
      <w:tr>
        <w:tblPrEx>
          <w:tblCellMar>
            <w:top w:w="0" w:type="dxa"/>
            <w:left w:w="108" w:type="dxa"/>
            <w:bottom w:w="0" w:type="dxa"/>
            <w:right w:w="108" w:type="dxa"/>
          </w:tblCellMar>
        </w:tblPrEx>
        <w:trPr>
          <w:trHeight w:val="300" w:hRule="atLeast"/>
        </w:trPr>
        <w:tc>
          <w:tcPr>
            <w:tcW w:w="1968"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项目资金（万元）</w:t>
            </w:r>
          </w:p>
        </w:tc>
        <w:tc>
          <w:tcPr>
            <w:tcW w:w="1856"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年初预算数</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全年预算数</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全年执行数</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分值</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执行率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得分</w:t>
            </w:r>
          </w:p>
        </w:tc>
      </w:tr>
      <w:tr>
        <w:tblPrEx>
          <w:tblCellMar>
            <w:top w:w="0" w:type="dxa"/>
            <w:left w:w="108" w:type="dxa"/>
            <w:bottom w:w="0" w:type="dxa"/>
            <w:right w:w="108" w:type="dxa"/>
          </w:tblCellMar>
        </w:tblPrEx>
        <w:trPr>
          <w:trHeight w:val="300" w:hRule="atLeast"/>
        </w:trPr>
        <w:tc>
          <w:tcPr>
            <w:tcW w:w="1968"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年度资金总额：</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1,504.80</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1,504.80</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lang w:val="en-US"/>
              </w:rPr>
            </w:pPr>
            <w:r>
              <w:rPr>
                <w:rFonts w:hint="eastAsia" w:ascii="宋体" w:hAnsi="宋体" w:eastAsia="宋体" w:cs="宋体"/>
                <w:color w:val="000000"/>
                <w:sz w:val="18"/>
                <w:szCs w:val="18"/>
                <w:lang w:val="en-US"/>
              </w:rPr>
              <w:t>1,263.20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84%</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lang w:val="en-US"/>
              </w:rPr>
            </w:pPr>
            <w:r>
              <w:rPr>
                <w:rFonts w:hint="eastAsia" w:ascii="宋体" w:hAnsi="宋体" w:eastAsia="宋体" w:cs="宋体"/>
                <w:color w:val="000000"/>
                <w:sz w:val="18"/>
                <w:szCs w:val="18"/>
                <w:lang w:val="en-US"/>
              </w:rPr>
              <w:t>8.40</w:t>
            </w:r>
          </w:p>
        </w:tc>
      </w:tr>
      <w:tr>
        <w:tblPrEx>
          <w:tblCellMar>
            <w:top w:w="0" w:type="dxa"/>
            <w:left w:w="108" w:type="dxa"/>
            <w:bottom w:w="0" w:type="dxa"/>
            <w:right w:w="108" w:type="dxa"/>
          </w:tblCellMar>
        </w:tblPrEx>
        <w:trPr>
          <w:trHeight w:val="300" w:hRule="atLeast"/>
        </w:trPr>
        <w:tc>
          <w:tcPr>
            <w:tcW w:w="1968"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Style w:val="16"/>
                <w:rFonts w:hint="default"/>
                <w:lang w:val="en-US"/>
              </w:rPr>
              <w:t>其中：当年财政拨款</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1968"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w:t>
            </w:r>
            <w:r>
              <w:rPr>
                <w:rStyle w:val="16"/>
                <w:rFonts w:hint="default"/>
                <w:lang w:val="en-US"/>
              </w:rPr>
              <w:t xml:space="preserve">     上年结转资金</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1968"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18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      </w:t>
            </w:r>
            <w:r>
              <w:rPr>
                <w:rStyle w:val="16"/>
                <w:rFonts w:hint="default"/>
                <w:lang w:val="en-US"/>
              </w:rPr>
              <w:t>其他资金</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1,504.80</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1,504.80</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1,263.20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84%</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年度总体目标</w:t>
            </w:r>
          </w:p>
        </w:tc>
        <w:tc>
          <w:tcPr>
            <w:tcW w:w="467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预期目标</w:t>
            </w:r>
          </w:p>
        </w:tc>
        <w:tc>
          <w:tcPr>
            <w:tcW w:w="483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实际完成情况</w:t>
            </w:r>
          </w:p>
        </w:tc>
      </w:tr>
      <w:tr>
        <w:tblPrEx>
          <w:tblCellMar>
            <w:top w:w="0" w:type="dxa"/>
            <w:left w:w="108" w:type="dxa"/>
            <w:bottom w:w="0" w:type="dxa"/>
            <w:right w:w="108" w:type="dxa"/>
          </w:tblCellMar>
        </w:tblPrEx>
        <w:trPr>
          <w:trHeight w:val="96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467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自筹资金合理分配，根据医院发展及临床需求合理安排采购项目。2、严格按照内控标准实施采购。3、办公设备及医疗设备及时采购到位，提高医疗质量和效率。4、按时完成我院大型修缮项目，为广大患者提供舒适的就医环境。</w:t>
            </w:r>
          </w:p>
        </w:tc>
        <w:tc>
          <w:tcPr>
            <w:tcW w:w="483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严格按照年初预定目标执行</w:t>
            </w:r>
          </w:p>
        </w:tc>
      </w:tr>
      <w:tr>
        <w:tblPrEx>
          <w:tblCellMar>
            <w:top w:w="0" w:type="dxa"/>
            <w:left w:w="108" w:type="dxa"/>
            <w:bottom w:w="0" w:type="dxa"/>
            <w:right w:w="108" w:type="dxa"/>
          </w:tblCellMar>
        </w:tblPrEx>
        <w:trPr>
          <w:trHeight w:val="1520" w:hRule="atLeast"/>
        </w:trPr>
        <w:tc>
          <w:tcPr>
            <w:tcW w:w="513"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绩效指标</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一级</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指标</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二级指标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三级指标</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年度指标值</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 xml:space="preserve">实际完成值 </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分值</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得分</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偏差原因分析和改进措施（完全达到目标100%-80%，基本达到目标80%-60%，完全未达到目标60%-0%。正负指标超过20%填报）</w:t>
            </w: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产</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出</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标（50分）</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数量指标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医疗设备采购数量（台）</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72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质量指标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购置验收通过率（通过验收的购置数量占购置总数量的比率）</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＞95%</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72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设备使用率</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≥85%</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85%</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时效指标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突发公共卫生事件报告响应时效</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≤5分钟</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≤5分钟</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成本指标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预算价和政府采购成交价的差额</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上下浮动不超过15%</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3%</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restart"/>
            <w:tcBorders>
              <w:top w:val="single" w:color="000000" w:sz="4" w:space="0"/>
              <w:left w:val="single" w:color="000000" w:sz="4" w:space="0"/>
              <w:bottom w:val="nil"/>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效</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益</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指</w:t>
            </w:r>
            <w:r>
              <w:rPr>
                <w:rFonts w:hint="eastAsia" w:ascii="宋体" w:hAnsi="宋体" w:eastAsia="宋体" w:cs="宋体"/>
                <w:color w:val="000000"/>
                <w:sz w:val="18"/>
                <w:szCs w:val="18"/>
                <w:lang w:val="en-US"/>
              </w:rPr>
              <w:br w:type="textWrapping"/>
            </w:r>
            <w:r>
              <w:rPr>
                <w:rFonts w:hint="eastAsia" w:ascii="宋体" w:hAnsi="宋体" w:eastAsia="宋体" w:cs="宋体"/>
                <w:color w:val="000000"/>
                <w:sz w:val="18"/>
                <w:szCs w:val="18"/>
                <w:lang w:val="en-US"/>
              </w:rPr>
              <w:t>标（30分）</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社会效益指标</w:t>
            </w:r>
          </w:p>
        </w:tc>
        <w:tc>
          <w:tcPr>
            <w:tcW w:w="3221" w:type="dxa"/>
            <w:gridSpan w:val="2"/>
            <w:tcBorders>
              <w:top w:val="single" w:color="000000" w:sz="4" w:space="0"/>
              <w:left w:val="single" w:color="000000" w:sz="4" w:space="0"/>
              <w:bottom w:val="nil"/>
              <w:right w:val="single" w:color="000000" w:sz="4" w:space="0"/>
            </w:tcBorders>
            <w:shd w:val="clear" w:color="auto" w:fill="FFFFFF"/>
            <w:noWrap/>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为快速医疗事业发展提供有效支持的比率</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经济效益指标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固定资产净值率（固定资产净值与固定资产原值比率）</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70%</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70%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ascii="宋体" w:hAnsi="宋体" w:eastAsia="宋体" w:cs="宋体"/>
                <w:color w:val="000000"/>
                <w:sz w:val="18"/>
                <w:szCs w:val="18"/>
              </w:rPr>
            </w:pP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生态效益指标</w:t>
            </w:r>
          </w:p>
        </w:tc>
        <w:tc>
          <w:tcPr>
            <w:tcW w:w="3221" w:type="dxa"/>
            <w:gridSpan w:val="2"/>
            <w:tcBorders>
              <w:top w:val="nil"/>
              <w:left w:val="single" w:color="000000" w:sz="4" w:space="0"/>
              <w:bottom w:val="single" w:color="000000" w:sz="4" w:space="0"/>
              <w:right w:val="single" w:color="000000" w:sz="4" w:space="0"/>
            </w:tcBorders>
            <w:shd w:val="clear" w:color="auto" w:fill="auto"/>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采购节能环保设备率</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＞90%</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ascii="宋体" w:hAnsi="宋体" w:eastAsia="宋体" w:cs="宋体"/>
                <w:color w:val="000000"/>
                <w:sz w:val="18"/>
                <w:szCs w:val="18"/>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满意度指标（10分）</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满意度指标</w:t>
            </w:r>
          </w:p>
        </w:tc>
        <w:tc>
          <w:tcPr>
            <w:tcW w:w="3221"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pPr>
              <w:widowControl/>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医疗使用科室满意度</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＞95%</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96%</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宋体" w:hAnsi="宋体" w:eastAsia="宋体" w:cs="宋体"/>
                <w:color w:val="000000"/>
                <w:sz w:val="18"/>
                <w:szCs w:val="18"/>
              </w:rPr>
            </w:pPr>
          </w:p>
        </w:tc>
      </w:tr>
      <w:tr>
        <w:tblPrEx>
          <w:tblCellMar>
            <w:top w:w="0" w:type="dxa"/>
            <w:left w:w="108" w:type="dxa"/>
            <w:bottom w:w="0" w:type="dxa"/>
            <w:right w:w="108" w:type="dxa"/>
          </w:tblCellMar>
        </w:tblPrEx>
        <w:trPr>
          <w:trHeight w:val="300" w:hRule="atLeast"/>
        </w:trPr>
        <w:tc>
          <w:tcPr>
            <w:tcW w:w="7619" w:type="dxa"/>
            <w:gridSpan w:val="7"/>
            <w:tcBorders>
              <w:top w:val="single" w:color="000000" w:sz="4" w:space="0"/>
              <w:left w:val="single" w:color="000000" w:sz="4" w:space="0"/>
              <w:bottom w:val="single" w:color="000000" w:sz="4" w:space="0"/>
              <w:right w:val="nil"/>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总分</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sz w:val="18"/>
                <w:szCs w:val="18"/>
                <w:lang w:val="en-US"/>
              </w:rPr>
              <w:t>100</w:t>
            </w:r>
          </w:p>
        </w:tc>
        <w:tc>
          <w:tcPr>
            <w:tcW w:w="675" w:type="dxa"/>
            <w:tcBorders>
              <w:top w:val="single" w:color="000000" w:sz="4" w:space="0"/>
              <w:left w:val="nil"/>
              <w:bottom w:val="single" w:color="000000" w:sz="4" w:space="0"/>
              <w:right w:val="nil"/>
            </w:tcBorders>
            <w:shd w:val="clear" w:color="auto" w:fill="auto"/>
            <w:vAlign w:val="center"/>
          </w:tcPr>
          <w:p>
            <w:pPr>
              <w:widowControl/>
              <w:jc w:val="center"/>
              <w:textAlignment w:val="center"/>
              <w:rPr>
                <w:rFonts w:ascii="宋体" w:hAnsi="宋体" w:eastAsia="宋体" w:cs="宋体"/>
                <w:color w:val="000000"/>
                <w:sz w:val="18"/>
                <w:szCs w:val="18"/>
                <w:lang w:val="en-US"/>
              </w:rPr>
            </w:pPr>
            <w:r>
              <w:rPr>
                <w:rFonts w:hint="eastAsia" w:ascii="宋体" w:hAnsi="宋体" w:eastAsia="宋体" w:cs="宋体"/>
                <w:color w:val="000000"/>
                <w:sz w:val="18"/>
                <w:szCs w:val="18"/>
                <w:lang w:val="en-US"/>
              </w:rPr>
              <w:t>98.40</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ascii="宋体" w:hAnsi="宋体" w:eastAsia="宋体" w:cs="宋体"/>
                <w:color w:val="000000"/>
                <w:sz w:val="18"/>
                <w:szCs w:val="18"/>
              </w:rPr>
            </w:pPr>
          </w:p>
        </w:tc>
      </w:tr>
    </w:tbl>
    <w:p>
      <w:pPr>
        <w:pStyle w:val="9"/>
        <w:spacing w:before="152"/>
        <w:ind w:left="0"/>
      </w:pPr>
    </w:p>
    <w:p>
      <w:pPr>
        <w:pStyle w:val="9"/>
        <w:spacing w:before="152"/>
        <w:ind w:left="0"/>
        <w:jc w:val="center"/>
      </w:pPr>
      <w:r>
        <w:t>第三部分 专业名词解释</w:t>
      </w:r>
    </w:p>
    <w:p>
      <w:pPr>
        <w:pStyle w:val="2"/>
        <w:spacing w:before="248"/>
        <w:ind w:left="0" w:firstLine="659" w:firstLineChars="206"/>
      </w:pPr>
      <w:r>
        <w:t>财政拨款收入：指同级财政当年拨付的资金。</w:t>
      </w:r>
    </w:p>
    <w:p>
      <w:pPr>
        <w:pStyle w:val="2"/>
        <w:spacing w:before="245" w:line="292" w:lineRule="auto"/>
        <w:ind w:left="0" w:right="-10" w:firstLine="659" w:firstLineChars="206"/>
      </w:pPr>
      <w:r>
        <w:t>上级补助收入：指事业单位从主管部门和上级单位取得的非财政补助收入。</w:t>
      </w:r>
    </w:p>
    <w:p>
      <w:pPr>
        <w:pStyle w:val="2"/>
        <w:spacing w:before="157" w:line="292" w:lineRule="auto"/>
        <w:ind w:left="0" w:right="-10" w:firstLine="659" w:firstLineChars="206"/>
      </w:pPr>
      <w:r>
        <w:t>事业收入：指事业单位开展专业业务活动及其辅助活动所取得的收入</w:t>
      </w:r>
      <w:r>
        <w:rPr>
          <w:rFonts w:hint="eastAsia"/>
        </w:rPr>
        <w:t>。</w:t>
      </w:r>
    </w:p>
    <w:p>
      <w:pPr>
        <w:pStyle w:val="2"/>
        <w:spacing w:before="44" w:line="292" w:lineRule="auto"/>
        <w:ind w:left="0" w:right="-10" w:firstLine="659" w:firstLineChars="206"/>
      </w:pPr>
      <w:r>
        <w:t>经营收入：指事业单位在专业业务活动及其辅助活动之外开展非独立核算经营活动取得的收入。</w:t>
      </w:r>
    </w:p>
    <w:p>
      <w:pPr>
        <w:pStyle w:val="2"/>
        <w:spacing w:before="153" w:line="292" w:lineRule="auto"/>
        <w:ind w:left="0" w:right="-10" w:firstLine="659" w:firstLineChars="206"/>
      </w:pPr>
      <w:r>
        <w:t>附属单位上缴收入：指事业单位附属的独立核算单位按有关规定上缴的收入。</w:t>
      </w:r>
    </w:p>
    <w:p>
      <w:pPr>
        <w:pStyle w:val="2"/>
        <w:spacing w:before="157" w:line="292" w:lineRule="auto"/>
        <w:ind w:left="0" w:right="-10" w:firstLine="605" w:firstLineChars="206"/>
      </w:pPr>
      <w:r>
        <w:rPr>
          <w:spacing w:val="-13"/>
        </w:rPr>
        <w:t>其他收入：指除上述“财政拨款收入”、“事业收入”、</w:t>
      </w:r>
      <w:r>
        <w:t>“经营收入”、“附属单位上缴收入”等之外取得的收入。</w:t>
      </w:r>
    </w:p>
    <w:p>
      <w:pPr>
        <w:pStyle w:val="2"/>
        <w:spacing w:before="156" w:line="292" w:lineRule="auto"/>
        <w:ind w:left="0" w:right="-10" w:firstLine="650" w:firstLineChars="206"/>
        <w:jc w:val="both"/>
      </w:pPr>
      <w:r>
        <w:rPr>
          <w:spacing w:val="-2"/>
        </w:rPr>
        <w:t>年初结转和结余：指以前年度支出预算因客观条件变化</w:t>
      </w:r>
      <w:r>
        <w:rPr>
          <w:spacing w:val="-4"/>
        </w:rPr>
        <w:t>未执行完毕、结转到本年度按有关规定继续使用的资金，既</w:t>
      </w:r>
      <w:r>
        <w:rPr>
          <w:spacing w:val="-5"/>
        </w:rPr>
        <w:t>包括财政拨款结转和结余，也包括事业收入、经营收入、其他收入的结转和结余。</w:t>
      </w:r>
    </w:p>
    <w:p>
      <w:pPr>
        <w:pStyle w:val="2"/>
        <w:spacing w:before="155" w:line="292" w:lineRule="auto"/>
        <w:ind w:left="0" w:right="-10" w:firstLine="646" w:firstLineChars="206"/>
        <w:jc w:val="both"/>
      </w:pPr>
      <w:r>
        <w:rPr>
          <w:spacing w:val="-3"/>
        </w:rPr>
        <w:t>年末结转和结余：指本年度或以前年度预算安排、因客</w:t>
      </w:r>
      <w:r>
        <w:rPr>
          <w:spacing w:val="-1"/>
        </w:rPr>
        <w:t>观条件发生变化无法按原计划实施，需要延迟到以后年度按</w:t>
      </w:r>
      <w:r>
        <w:rPr>
          <w:spacing w:val="-4"/>
        </w:rPr>
        <w:t>有关规定继续使用的资金，既包括财政拨款结转和结余，也</w:t>
      </w:r>
      <w:r>
        <w:t>包括事业收入、经营收入、其他收入的结转和结余。</w:t>
      </w:r>
    </w:p>
    <w:p>
      <w:pPr>
        <w:pStyle w:val="2"/>
        <w:spacing w:before="154" w:line="292" w:lineRule="auto"/>
        <w:ind w:left="0" w:right="-10" w:firstLine="659" w:firstLineChars="206"/>
      </w:pPr>
      <w:r>
        <w:t>基本支出：指为保障机构正常运转、完成日常工作任务而发生的人员支出和公用支出。</w:t>
      </w:r>
    </w:p>
    <w:p>
      <w:pPr>
        <w:pStyle w:val="2"/>
        <w:spacing w:before="157" w:line="292" w:lineRule="auto"/>
        <w:ind w:left="0" w:right="-10" w:firstLine="659" w:firstLineChars="206"/>
      </w:pPr>
      <w:r>
        <w:t>项目支出：指在基本支出之外为完成特定行政任务和事业发展目标所发生的支出。</w:t>
      </w:r>
    </w:p>
    <w:p>
      <w:pPr>
        <w:pStyle w:val="2"/>
        <w:spacing w:before="156" w:line="292" w:lineRule="auto"/>
        <w:ind w:left="0" w:right="-10" w:firstLine="659" w:firstLineChars="206"/>
      </w:pPr>
      <w:r>
        <w:t>经营支出：指事业单位在专业业务活动及其辅助活动之外开展非独立核算经营活动发生的支出。</w:t>
      </w:r>
    </w:p>
    <w:p>
      <w:pPr>
        <w:pStyle w:val="2"/>
        <w:spacing w:before="154" w:line="292" w:lineRule="auto"/>
        <w:ind w:left="0" w:right="-10" w:firstLine="640"/>
      </w:pPr>
      <w:r>
        <w:t>对附属单位补助支出：指事业单位发生的用非财政预算资金对附属单位的补助支出。</w:t>
      </w:r>
    </w:p>
    <w:p>
      <w:pPr>
        <w:pStyle w:val="2"/>
        <w:spacing w:before="156" w:line="360" w:lineRule="auto"/>
        <w:ind w:left="0" w:right="-10" w:firstLine="640"/>
        <w:jc w:val="both"/>
      </w:pPr>
      <w:r>
        <w:rPr>
          <w:spacing w:val="-3"/>
        </w:rPr>
        <w:t>“三公”经费：指用一般公共预算财政拨款安排的因</w:t>
      </w:r>
      <w:r>
        <w:rPr>
          <w:spacing w:val="-22"/>
        </w:rPr>
        <w:t>出国</w:t>
      </w:r>
      <w:r>
        <w:t>（境</w:t>
      </w:r>
      <w:r>
        <w:rPr>
          <w:spacing w:val="-43"/>
        </w:rPr>
        <w:t>）</w:t>
      </w:r>
      <w:r>
        <w:rPr>
          <w:spacing w:val="-10"/>
        </w:rPr>
        <w:t>费、公务用车购置及运行费和公务接待费。其中，</w:t>
      </w:r>
      <w:r>
        <w:rPr>
          <w:spacing w:val="-1"/>
        </w:rPr>
        <w:t>因公出国</w:t>
      </w:r>
      <w:r>
        <w:t>（境</w:t>
      </w:r>
      <w:r>
        <w:rPr>
          <w:spacing w:val="-3"/>
        </w:rPr>
        <w:t>）</w:t>
      </w:r>
      <w:r>
        <w:rPr>
          <w:spacing w:val="-1"/>
        </w:rPr>
        <w:t>费反映单位公务出国</w:t>
      </w:r>
      <w:r>
        <w:t>（境</w:t>
      </w:r>
      <w:r>
        <w:rPr>
          <w:spacing w:val="-3"/>
        </w:rPr>
        <w:t>）</w:t>
      </w:r>
      <w:r>
        <w:t>的国际旅费、国</w:t>
      </w:r>
      <w:bookmarkStart w:id="34" w:name="_bookmark17"/>
      <w:bookmarkEnd w:id="34"/>
      <w:r>
        <w:rPr>
          <w:spacing w:val="-15"/>
        </w:rPr>
        <w:t>外城市间交通费、住宿费、伙食费、培训费、公杂费等支出；</w:t>
      </w:r>
      <w:r>
        <w:rPr>
          <w:spacing w:val="-1"/>
        </w:rPr>
        <w:t>公务用车购置费反映公务用车购置支出</w:t>
      </w:r>
      <w:r>
        <w:t>（</w:t>
      </w:r>
      <w:r>
        <w:rPr>
          <w:spacing w:val="-1"/>
        </w:rPr>
        <w:t>含车辆购置税、牌照费</w:t>
      </w:r>
      <w:r>
        <w:rPr>
          <w:spacing w:val="-7"/>
        </w:rPr>
        <w:t>）；</w:t>
      </w:r>
      <w:r>
        <w:t>公务用车运行维护费反映单位按规定保留的公务用</w:t>
      </w:r>
      <w:r>
        <w:rPr>
          <w:spacing w:val="-3"/>
        </w:rPr>
        <w:t>车燃料费、维修费、过路过桥费、保险费、安全奖励费用等</w:t>
      </w:r>
      <w:r>
        <w:rPr>
          <w:spacing w:val="-5"/>
        </w:rPr>
        <w:t>支出；公务接待费反映单位按规定开支的各类公务接待</w:t>
      </w:r>
      <w:r>
        <w:t>（含外宾接待）费用。</w:t>
      </w:r>
    </w:p>
    <w:p>
      <w:pPr>
        <w:pStyle w:val="2"/>
        <w:spacing w:before="154" w:line="292" w:lineRule="auto"/>
        <w:ind w:right="-10" w:firstLine="640"/>
        <w:jc w:val="both"/>
      </w:pPr>
      <w:r>
        <w:rPr>
          <w:spacing w:val="-2"/>
        </w:rPr>
        <w:t>机关运行经费：为保障行政单位</w:t>
      </w:r>
      <w:r>
        <w:t>（含参照公务员法管理的事业单位</w:t>
      </w:r>
      <w:r>
        <w:rPr>
          <w:spacing w:val="-7"/>
        </w:rPr>
        <w:t>）</w:t>
      </w:r>
      <w:r>
        <w:rPr>
          <w:spacing w:val="-1"/>
        </w:rPr>
        <w:t>运行用于购买货物和服务的各项资金，包括办</w:t>
      </w:r>
      <w:r>
        <w:rPr>
          <w:spacing w:val="-3"/>
        </w:rPr>
        <w:t>公及印刷费、邮电费、差旅费、会议费、福利费、日常维修</w:t>
      </w:r>
      <w:r>
        <w:rPr>
          <w:spacing w:val="-4"/>
        </w:rPr>
        <w:t>费、专用材料及一般设备购置费、办公用房水电费、办公用</w:t>
      </w:r>
      <w:r>
        <w:rPr>
          <w:spacing w:val="-6"/>
          <w:w w:val="95"/>
        </w:rPr>
        <w:t xml:space="preserve">房取暖费、办公用房物业管理费、公务用车运行维护费以及 </w:t>
      </w:r>
      <w:r>
        <w:rPr>
          <w:spacing w:val="-6"/>
        </w:rPr>
        <w:t>其他费用。</w:t>
      </w:r>
    </w:p>
    <w:p>
      <w:pPr>
        <w:spacing w:line="292" w:lineRule="auto"/>
        <w:ind w:right="-10"/>
        <w:jc w:val="both"/>
        <w:sectPr>
          <w:footerReference r:id="rId4" w:type="default"/>
          <w:pgSz w:w="11910" w:h="16840"/>
          <w:pgMar w:top="1460" w:right="1220" w:bottom="1180" w:left="1680" w:header="0" w:footer="993" w:gutter="0"/>
          <w:pgNumType w:start="10"/>
          <w:cols w:space="720" w:num="1"/>
        </w:sectPr>
      </w:pPr>
    </w:p>
    <w:p>
      <w:pPr>
        <w:pStyle w:val="2"/>
        <w:numPr>
          <w:ilvl w:val="0"/>
          <w:numId w:val="2"/>
        </w:numPr>
        <w:spacing w:before="30" w:line="638" w:lineRule="auto"/>
        <w:ind w:left="0" w:right="-10"/>
        <w:jc w:val="center"/>
        <w:rPr>
          <w:rFonts w:ascii="黑体" w:eastAsia="黑体"/>
        </w:rPr>
      </w:pPr>
      <w:r>
        <w:rPr>
          <w:lang w:val="en-US" w:bidi="ar-SA"/>
        </w:rPr>
        <w:drawing>
          <wp:anchor distT="0" distB="0" distL="0" distR="0" simplePos="0" relativeHeight="251665408" behindDoc="0" locked="0" layoutInCell="1" allowOverlap="1">
            <wp:simplePos x="0" y="0"/>
            <wp:positionH relativeFrom="page">
              <wp:posOffset>1143000</wp:posOffset>
            </wp:positionH>
            <wp:positionV relativeFrom="paragraph">
              <wp:posOffset>1457325</wp:posOffset>
            </wp:positionV>
            <wp:extent cx="5478780" cy="6231890"/>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6" cstate="print"/>
                    <a:stretch>
                      <a:fillRect/>
                    </a:stretch>
                  </pic:blipFill>
                  <pic:spPr>
                    <a:xfrm>
                      <a:off x="0" y="0"/>
                      <a:ext cx="5478809" cy="6231636"/>
                    </a:xfrm>
                    <a:prstGeom prst="rect">
                      <a:avLst/>
                    </a:prstGeom>
                  </pic:spPr>
                </pic:pic>
              </a:graphicData>
            </a:graphic>
          </wp:anchor>
        </w:drawing>
      </w:r>
      <w:bookmarkStart w:id="35" w:name="_bookmark19"/>
      <w:bookmarkEnd w:id="35"/>
      <w:bookmarkStart w:id="36" w:name="第四部分_部门决算报表（见附表）"/>
      <w:bookmarkEnd w:id="36"/>
      <w:r>
        <w:rPr>
          <w:rFonts w:hint="eastAsia" w:ascii="黑体" w:eastAsia="黑体"/>
        </w:rPr>
        <w:t>部门决算报表</w:t>
      </w:r>
    </w:p>
    <w:p>
      <w:pPr>
        <w:pStyle w:val="2"/>
        <w:spacing w:before="30" w:line="638" w:lineRule="auto"/>
        <w:ind w:left="0" w:right="1933" w:firstLine="640" w:firstLineChars="200"/>
        <w:rPr>
          <w:rFonts w:ascii="黑体" w:eastAsia="黑体"/>
        </w:rPr>
      </w:pPr>
      <w:r>
        <w:rPr>
          <w:rFonts w:hint="eastAsia" w:ascii="黑体" w:eastAsia="黑体"/>
        </w:rPr>
        <w:t xml:space="preserve"> </w:t>
      </w:r>
      <w:bookmarkStart w:id="37" w:name="一、《收入支出决算总表》"/>
      <w:bookmarkEnd w:id="37"/>
      <w:bookmarkStart w:id="38" w:name="_bookmark18"/>
      <w:bookmarkEnd w:id="38"/>
      <w:r>
        <w:rPr>
          <w:rFonts w:hint="eastAsia" w:ascii="黑体" w:eastAsia="黑体"/>
        </w:rPr>
        <w:t>一、《收入支出决算总表》</w:t>
      </w:r>
    </w:p>
    <w:p>
      <w:pPr>
        <w:spacing w:line="638" w:lineRule="auto"/>
        <w:rPr>
          <w:rFonts w:ascii="黑体" w:eastAsia="黑体"/>
        </w:rPr>
        <w:sectPr>
          <w:pgSz w:w="11910" w:h="16840"/>
          <w:pgMar w:top="1500" w:right="1220" w:bottom="1180" w:left="1680" w:header="0" w:footer="993" w:gutter="0"/>
          <w:cols w:space="720" w:num="1"/>
        </w:sectPr>
      </w:pPr>
    </w:p>
    <w:p>
      <w:pPr>
        <w:pStyle w:val="2"/>
        <w:spacing w:before="30"/>
        <w:ind w:left="760"/>
        <w:rPr>
          <w:rFonts w:ascii="黑体" w:eastAsia="黑体"/>
        </w:rPr>
      </w:pPr>
      <w:r>
        <w:rPr>
          <w:rFonts w:hint="eastAsia" w:ascii="黑体" w:eastAsia="黑体"/>
          <w:w w:val="95"/>
        </w:rPr>
        <w:t>二、《收入决算表》</w:t>
      </w:r>
    </w:p>
    <w:p>
      <w:pPr>
        <w:pStyle w:val="2"/>
        <w:ind w:left="0"/>
        <w:rPr>
          <w:rFonts w:ascii="黑体"/>
          <w:sz w:val="20"/>
        </w:rPr>
      </w:pPr>
    </w:p>
    <w:p>
      <w:pPr>
        <w:pStyle w:val="2"/>
        <w:ind w:left="0"/>
        <w:rPr>
          <w:rFonts w:ascii="黑体"/>
          <w:sz w:val="20"/>
        </w:rPr>
      </w:pPr>
    </w:p>
    <w:p>
      <w:pPr>
        <w:pStyle w:val="2"/>
        <w:spacing w:before="6"/>
        <w:ind w:left="0"/>
        <w:rPr>
          <w:rFonts w:ascii="黑体"/>
          <w:sz w:val="25"/>
        </w:rPr>
      </w:pPr>
      <w:r>
        <w:rPr>
          <w:lang w:val="en-US" w:bidi="ar-SA"/>
        </w:rPr>
        <w:drawing>
          <wp:anchor distT="0" distB="0" distL="0" distR="0" simplePos="0" relativeHeight="251659264" behindDoc="0" locked="0" layoutInCell="1" allowOverlap="1">
            <wp:simplePos x="0" y="0"/>
            <wp:positionH relativeFrom="page">
              <wp:posOffset>1143000</wp:posOffset>
            </wp:positionH>
            <wp:positionV relativeFrom="paragraph">
              <wp:posOffset>232410</wp:posOffset>
            </wp:positionV>
            <wp:extent cx="5401310" cy="3354070"/>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7" cstate="print"/>
                    <a:stretch>
                      <a:fillRect/>
                    </a:stretch>
                  </pic:blipFill>
                  <pic:spPr>
                    <a:xfrm>
                      <a:off x="0" y="0"/>
                      <a:ext cx="5401509" cy="3354324"/>
                    </a:xfrm>
                    <a:prstGeom prst="rect">
                      <a:avLst/>
                    </a:prstGeom>
                  </pic:spPr>
                </pic:pic>
              </a:graphicData>
            </a:graphic>
          </wp:anchor>
        </w:drawing>
      </w:r>
    </w:p>
    <w:p>
      <w:pPr>
        <w:pStyle w:val="2"/>
        <w:spacing w:before="7"/>
        <w:ind w:left="0"/>
        <w:rPr>
          <w:rFonts w:ascii="黑体"/>
          <w:sz w:val="28"/>
        </w:rPr>
      </w:pPr>
    </w:p>
    <w:p>
      <w:pPr>
        <w:pStyle w:val="2"/>
        <w:spacing w:before="294"/>
        <w:ind w:left="760"/>
        <w:rPr>
          <w:rFonts w:ascii="黑体" w:eastAsia="黑体"/>
        </w:rPr>
      </w:pPr>
      <w:r>
        <w:rPr>
          <w:rFonts w:hint="eastAsia" w:ascii="黑体" w:eastAsia="黑体"/>
          <w:w w:val="95"/>
        </w:rPr>
        <w:t>三、《支出决算表》</w:t>
      </w:r>
    </w:p>
    <w:p>
      <w:pPr>
        <w:pStyle w:val="2"/>
        <w:ind w:left="0"/>
        <w:rPr>
          <w:rFonts w:ascii="黑体"/>
          <w:sz w:val="20"/>
        </w:rPr>
      </w:pPr>
    </w:p>
    <w:p>
      <w:pPr>
        <w:pStyle w:val="2"/>
        <w:ind w:left="0"/>
        <w:rPr>
          <w:rFonts w:ascii="黑体"/>
          <w:sz w:val="20"/>
        </w:rPr>
      </w:pPr>
    </w:p>
    <w:p>
      <w:pPr>
        <w:pStyle w:val="2"/>
        <w:spacing w:before="11"/>
        <w:ind w:left="0"/>
        <w:rPr>
          <w:rFonts w:ascii="黑体"/>
          <w:sz w:val="13"/>
        </w:rPr>
      </w:pPr>
      <w:r>
        <w:rPr>
          <w:lang w:val="en-US" w:bidi="ar-SA"/>
        </w:rPr>
        <w:drawing>
          <wp:anchor distT="0" distB="0" distL="0" distR="0" simplePos="0" relativeHeight="251660288" behindDoc="0" locked="0" layoutInCell="1" allowOverlap="1">
            <wp:simplePos x="0" y="0"/>
            <wp:positionH relativeFrom="page">
              <wp:posOffset>1143000</wp:posOffset>
            </wp:positionH>
            <wp:positionV relativeFrom="paragraph">
              <wp:posOffset>137795</wp:posOffset>
            </wp:positionV>
            <wp:extent cx="5352415" cy="3511550"/>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pic:cNvPicPr>
                      <a:picLocks noChangeAspect="1"/>
                    </pic:cNvPicPr>
                  </pic:nvPicPr>
                  <pic:blipFill>
                    <a:blip r:embed="rId8" cstate="print"/>
                    <a:stretch>
                      <a:fillRect/>
                    </a:stretch>
                  </pic:blipFill>
                  <pic:spPr>
                    <a:xfrm>
                      <a:off x="0" y="0"/>
                      <a:ext cx="5352414" cy="3511296"/>
                    </a:xfrm>
                    <a:prstGeom prst="rect">
                      <a:avLst/>
                    </a:prstGeom>
                  </pic:spPr>
                </pic:pic>
              </a:graphicData>
            </a:graphic>
          </wp:anchor>
        </w:drawing>
      </w:r>
    </w:p>
    <w:p>
      <w:pPr>
        <w:rPr>
          <w:rFonts w:ascii="黑体"/>
          <w:sz w:val="13"/>
        </w:rPr>
        <w:sectPr>
          <w:pgSz w:w="11910" w:h="16840"/>
          <w:pgMar w:top="1500" w:right="1220" w:bottom="1180" w:left="1680" w:header="0" w:footer="993" w:gutter="0"/>
          <w:cols w:space="720" w:num="1"/>
        </w:sectPr>
      </w:pPr>
    </w:p>
    <w:p>
      <w:pPr>
        <w:pStyle w:val="2"/>
        <w:spacing w:before="30"/>
        <w:ind w:left="760"/>
        <w:rPr>
          <w:rFonts w:ascii="黑体" w:eastAsia="黑体"/>
        </w:rPr>
      </w:pPr>
      <w:bookmarkStart w:id="39" w:name="_bookmark23"/>
      <w:bookmarkEnd w:id="39"/>
      <w:bookmarkStart w:id="40" w:name="_bookmark21"/>
      <w:bookmarkEnd w:id="40"/>
      <w:bookmarkStart w:id="41" w:name="四、《财政拨款收入支出决算总表》"/>
      <w:bookmarkEnd w:id="41"/>
      <w:r>
        <w:rPr>
          <w:rFonts w:hint="eastAsia" w:ascii="黑体" w:eastAsia="黑体"/>
        </w:rPr>
        <w:t>四、《财政拨款收入支出决算总表》</w:t>
      </w:r>
    </w:p>
    <w:p>
      <w:pPr>
        <w:pStyle w:val="2"/>
        <w:spacing w:before="6"/>
        <w:ind w:left="0"/>
        <w:rPr>
          <w:rFonts w:ascii="黑体"/>
          <w:sz w:val="16"/>
        </w:rPr>
      </w:pPr>
      <w:r>
        <w:rPr>
          <w:lang w:val="en-US" w:bidi="ar-SA"/>
        </w:rPr>
        <w:drawing>
          <wp:anchor distT="0" distB="0" distL="0" distR="0" simplePos="0" relativeHeight="251661312" behindDoc="0" locked="0" layoutInCell="1" allowOverlap="1">
            <wp:simplePos x="0" y="0"/>
            <wp:positionH relativeFrom="page">
              <wp:posOffset>1143000</wp:posOffset>
            </wp:positionH>
            <wp:positionV relativeFrom="paragraph">
              <wp:posOffset>158750</wp:posOffset>
            </wp:positionV>
            <wp:extent cx="5502275" cy="3785870"/>
            <wp:effectExtent l="0" t="0" r="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jpeg"/>
                    <pic:cNvPicPr>
                      <a:picLocks noChangeAspect="1"/>
                    </pic:cNvPicPr>
                  </pic:nvPicPr>
                  <pic:blipFill>
                    <a:blip r:embed="rId9" cstate="print"/>
                    <a:stretch>
                      <a:fillRect/>
                    </a:stretch>
                  </pic:blipFill>
                  <pic:spPr>
                    <a:xfrm>
                      <a:off x="0" y="0"/>
                      <a:ext cx="5502095" cy="3786187"/>
                    </a:xfrm>
                    <a:prstGeom prst="rect">
                      <a:avLst/>
                    </a:prstGeom>
                  </pic:spPr>
                </pic:pic>
              </a:graphicData>
            </a:graphic>
          </wp:anchor>
        </w:drawing>
      </w:r>
    </w:p>
    <w:p>
      <w:pPr>
        <w:pStyle w:val="2"/>
        <w:spacing w:before="12"/>
        <w:ind w:left="0"/>
        <w:rPr>
          <w:rFonts w:ascii="黑体"/>
          <w:sz w:val="40"/>
        </w:rPr>
      </w:pPr>
    </w:p>
    <w:p>
      <w:pPr>
        <w:pStyle w:val="2"/>
        <w:spacing w:beforeLines="100"/>
        <w:ind w:left="760"/>
        <w:rPr>
          <w:rFonts w:ascii="黑体" w:eastAsia="黑体"/>
        </w:rPr>
      </w:pPr>
      <w:bookmarkStart w:id="42" w:name="五、《一般公共预算财政拨款支出决算表》"/>
      <w:bookmarkEnd w:id="42"/>
      <w:bookmarkStart w:id="43" w:name="_bookmark22"/>
      <w:bookmarkEnd w:id="43"/>
      <w:r>
        <w:rPr>
          <w:rFonts w:hint="eastAsia" w:ascii="黑体" w:eastAsia="黑体"/>
        </w:rPr>
        <w:t>五、《一般公共预算财政拨款支出决算表》</w:t>
      </w:r>
    </w:p>
    <w:p>
      <w:pPr>
        <w:pStyle w:val="2"/>
        <w:ind w:left="0"/>
        <w:rPr>
          <w:rFonts w:ascii="黑体"/>
          <w:sz w:val="20"/>
        </w:rPr>
      </w:pPr>
    </w:p>
    <w:p>
      <w:pPr>
        <w:pStyle w:val="2"/>
        <w:spacing w:before="8"/>
        <w:ind w:left="0"/>
        <w:rPr>
          <w:rFonts w:ascii="黑体"/>
          <w:sz w:val="16"/>
        </w:rPr>
      </w:pPr>
      <w:r>
        <w:rPr>
          <w:lang w:val="en-US" w:bidi="ar-SA"/>
        </w:rPr>
        <w:drawing>
          <wp:anchor distT="0" distB="0" distL="0" distR="0" simplePos="0" relativeHeight="251662336" behindDoc="0" locked="0" layoutInCell="1" allowOverlap="1">
            <wp:simplePos x="0" y="0"/>
            <wp:positionH relativeFrom="page">
              <wp:posOffset>1143000</wp:posOffset>
            </wp:positionH>
            <wp:positionV relativeFrom="paragraph">
              <wp:posOffset>160020</wp:posOffset>
            </wp:positionV>
            <wp:extent cx="5469890" cy="3559810"/>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jpeg"/>
                    <pic:cNvPicPr>
                      <a:picLocks noChangeAspect="1"/>
                    </pic:cNvPicPr>
                  </pic:nvPicPr>
                  <pic:blipFill>
                    <a:blip r:embed="rId10" cstate="print"/>
                    <a:stretch>
                      <a:fillRect/>
                    </a:stretch>
                  </pic:blipFill>
                  <pic:spPr>
                    <a:xfrm>
                      <a:off x="0" y="0"/>
                      <a:ext cx="5470037" cy="3560064"/>
                    </a:xfrm>
                    <a:prstGeom prst="rect">
                      <a:avLst/>
                    </a:prstGeom>
                  </pic:spPr>
                </pic:pic>
              </a:graphicData>
            </a:graphic>
          </wp:anchor>
        </w:drawing>
      </w:r>
    </w:p>
    <w:p>
      <w:pPr>
        <w:rPr>
          <w:rFonts w:ascii="黑体"/>
          <w:sz w:val="16"/>
        </w:rPr>
        <w:sectPr>
          <w:pgSz w:w="11910" w:h="16840"/>
          <w:pgMar w:top="1500" w:right="1220" w:bottom="1180" w:left="1680" w:header="0" w:footer="993" w:gutter="0"/>
          <w:cols w:space="720" w:num="1"/>
        </w:sectPr>
      </w:pPr>
    </w:p>
    <w:p>
      <w:pPr>
        <w:pStyle w:val="2"/>
        <w:spacing w:before="30"/>
        <w:ind w:left="760"/>
        <w:rPr>
          <w:rFonts w:ascii="黑体" w:eastAsia="黑体"/>
        </w:rPr>
      </w:pPr>
      <w:bookmarkStart w:id="44" w:name="六、《一般公共预算财政拨款基本支出决算明细表》"/>
      <w:bookmarkEnd w:id="44"/>
      <w:bookmarkStart w:id="45" w:name="_bookmark25"/>
      <w:bookmarkEnd w:id="45"/>
      <w:r>
        <w:rPr>
          <w:rFonts w:hint="eastAsia" w:ascii="黑体" w:eastAsia="黑体"/>
        </w:rPr>
        <w:t>六、《一般公共预算财政拨款基本支出决算明细表》</w:t>
      </w:r>
    </w:p>
    <w:p>
      <w:pPr>
        <w:pStyle w:val="2"/>
        <w:ind w:left="0"/>
        <w:rPr>
          <w:rFonts w:ascii="黑体"/>
          <w:sz w:val="20"/>
        </w:rPr>
      </w:pPr>
    </w:p>
    <w:p>
      <w:pPr>
        <w:pStyle w:val="2"/>
        <w:spacing w:before="11"/>
        <w:ind w:left="0"/>
        <w:rPr>
          <w:rFonts w:ascii="黑体"/>
          <w:sz w:val="25"/>
        </w:rPr>
      </w:pPr>
      <w:r>
        <w:rPr>
          <w:lang w:val="en-US" w:bidi="ar-SA"/>
        </w:rPr>
        <w:drawing>
          <wp:anchor distT="0" distB="0" distL="0" distR="0" simplePos="0" relativeHeight="251663360" behindDoc="0" locked="0" layoutInCell="1" allowOverlap="1">
            <wp:simplePos x="0" y="0"/>
            <wp:positionH relativeFrom="page">
              <wp:posOffset>1143000</wp:posOffset>
            </wp:positionH>
            <wp:positionV relativeFrom="paragraph">
              <wp:posOffset>234950</wp:posOffset>
            </wp:positionV>
            <wp:extent cx="5453380" cy="4677410"/>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jpeg"/>
                    <pic:cNvPicPr>
                      <a:picLocks noChangeAspect="1"/>
                    </pic:cNvPicPr>
                  </pic:nvPicPr>
                  <pic:blipFill>
                    <a:blip r:embed="rId11" cstate="print"/>
                    <a:stretch>
                      <a:fillRect/>
                    </a:stretch>
                  </pic:blipFill>
                  <pic:spPr>
                    <a:xfrm>
                      <a:off x="0" y="0"/>
                      <a:ext cx="5453172" cy="4677156"/>
                    </a:xfrm>
                    <a:prstGeom prst="rect">
                      <a:avLst/>
                    </a:prstGeom>
                  </pic:spPr>
                </pic:pic>
              </a:graphicData>
            </a:graphic>
          </wp:anchor>
        </w:drawing>
      </w:r>
    </w:p>
    <w:p>
      <w:pPr>
        <w:pStyle w:val="2"/>
        <w:ind w:left="0"/>
        <w:rPr>
          <w:rFonts w:ascii="黑体"/>
          <w:sz w:val="20"/>
        </w:rPr>
      </w:pPr>
    </w:p>
    <w:p>
      <w:pPr>
        <w:pStyle w:val="2"/>
        <w:ind w:left="0"/>
        <w:rPr>
          <w:rFonts w:ascii="黑体"/>
          <w:sz w:val="20"/>
        </w:rPr>
      </w:pPr>
    </w:p>
    <w:p>
      <w:pPr>
        <w:pStyle w:val="2"/>
        <w:spacing w:before="1"/>
        <w:ind w:left="0"/>
        <w:rPr>
          <w:rFonts w:ascii="黑体"/>
          <w:sz w:val="16"/>
        </w:rPr>
      </w:pPr>
    </w:p>
    <w:p>
      <w:pPr>
        <w:pStyle w:val="2"/>
        <w:spacing w:before="54"/>
        <w:ind w:left="760"/>
        <w:rPr>
          <w:rFonts w:ascii="黑体" w:hAnsi="黑体" w:eastAsia="黑体"/>
        </w:rPr>
      </w:pPr>
      <w:bookmarkStart w:id="46" w:name="_bookmark24"/>
      <w:bookmarkEnd w:id="46"/>
      <w:bookmarkStart w:id="47" w:name="七、《一般公共预算财政拨款“三公”经费支出决算表》"/>
      <w:bookmarkEnd w:id="47"/>
      <w:r>
        <w:rPr>
          <w:rFonts w:hint="eastAsia" w:ascii="黑体" w:hAnsi="黑体" w:eastAsia="黑体"/>
        </w:rPr>
        <w:t>七、《一般公共预算财政拨款“三公”经费支出决算表》</w:t>
      </w:r>
    </w:p>
    <w:p>
      <w:pPr>
        <w:pStyle w:val="2"/>
        <w:ind w:left="0"/>
        <w:rPr>
          <w:rFonts w:ascii="黑体"/>
          <w:sz w:val="20"/>
        </w:rPr>
      </w:pPr>
    </w:p>
    <w:p>
      <w:pPr>
        <w:pStyle w:val="2"/>
        <w:ind w:left="0"/>
        <w:rPr>
          <w:rFonts w:ascii="黑体"/>
          <w:sz w:val="20"/>
        </w:rPr>
      </w:pPr>
    </w:p>
    <w:p>
      <w:pPr>
        <w:pStyle w:val="2"/>
        <w:ind w:left="0"/>
        <w:rPr>
          <w:rFonts w:ascii="黑体"/>
          <w:sz w:val="12"/>
        </w:rPr>
      </w:pPr>
    </w:p>
    <w:p>
      <w:pPr>
        <w:rPr>
          <w:rFonts w:ascii="黑体"/>
          <w:sz w:val="12"/>
        </w:rPr>
        <w:sectPr>
          <w:pgSz w:w="11910" w:h="16840"/>
          <w:pgMar w:top="1500" w:right="1220" w:bottom="1180" w:left="1680" w:header="0" w:footer="993" w:gutter="0"/>
          <w:cols w:space="720" w:num="1"/>
        </w:sectPr>
      </w:pPr>
      <w:r>
        <w:rPr>
          <w:lang w:val="en-US" w:bidi="ar-SA"/>
        </w:rPr>
        <w:drawing>
          <wp:inline distT="0" distB="0" distL="114300" distR="114300">
            <wp:extent cx="5720080" cy="2043430"/>
            <wp:effectExtent l="0" t="0" r="13970" b="139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cstate="print"/>
                    <a:stretch>
                      <a:fillRect/>
                    </a:stretch>
                  </pic:blipFill>
                  <pic:spPr>
                    <a:xfrm>
                      <a:off x="0" y="0"/>
                      <a:ext cx="5720080" cy="2043430"/>
                    </a:xfrm>
                    <a:prstGeom prst="rect">
                      <a:avLst/>
                    </a:prstGeom>
                    <a:noFill/>
                    <a:ln>
                      <a:noFill/>
                    </a:ln>
                  </pic:spPr>
                </pic:pic>
              </a:graphicData>
            </a:graphic>
          </wp:inline>
        </w:drawing>
      </w:r>
    </w:p>
    <w:p>
      <w:pPr>
        <w:pStyle w:val="2"/>
        <w:spacing w:before="30" w:afterLines="100"/>
        <w:ind w:left="760"/>
        <w:rPr>
          <w:rFonts w:ascii="黑体" w:eastAsia="黑体"/>
        </w:rPr>
      </w:pPr>
      <w:bookmarkStart w:id="48" w:name="八、《政府性基金预算财政拨款收入支出决算表》"/>
      <w:bookmarkEnd w:id="48"/>
      <w:r>
        <w:rPr>
          <w:rFonts w:hint="eastAsia" w:ascii="黑体" w:eastAsia="黑体"/>
        </w:rPr>
        <w:t>八、《政府性基金预算财政拨款收入支出决算表》</w:t>
      </w:r>
    </w:p>
    <w:p>
      <w:pPr>
        <w:pStyle w:val="2"/>
        <w:spacing w:afterLines="100"/>
        <w:ind w:left="0"/>
        <w:rPr>
          <w:rFonts w:ascii="黑体"/>
          <w:sz w:val="20"/>
        </w:rPr>
      </w:pPr>
    </w:p>
    <w:p>
      <w:pPr>
        <w:pStyle w:val="2"/>
        <w:ind w:left="0"/>
        <w:rPr>
          <w:rFonts w:ascii="黑体"/>
          <w:sz w:val="20"/>
        </w:rPr>
      </w:pPr>
      <w:r>
        <w:rPr>
          <w:lang w:val="en-US" w:bidi="ar-SA"/>
        </w:rPr>
        <w:drawing>
          <wp:inline distT="0" distB="0" distL="114300" distR="114300">
            <wp:extent cx="5716905" cy="2127885"/>
            <wp:effectExtent l="0" t="0" r="17145" b="571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3" cstate="print"/>
                    <a:stretch>
                      <a:fillRect/>
                    </a:stretch>
                  </pic:blipFill>
                  <pic:spPr>
                    <a:xfrm>
                      <a:off x="0" y="0"/>
                      <a:ext cx="5716905" cy="2127885"/>
                    </a:xfrm>
                    <a:prstGeom prst="rect">
                      <a:avLst/>
                    </a:prstGeom>
                    <a:noFill/>
                    <a:ln>
                      <a:noFill/>
                    </a:ln>
                  </pic:spPr>
                </pic:pic>
              </a:graphicData>
            </a:graphic>
          </wp:inline>
        </w:drawing>
      </w:r>
    </w:p>
    <w:p>
      <w:pPr>
        <w:pStyle w:val="2"/>
        <w:spacing w:before="7"/>
        <w:ind w:left="0"/>
        <w:rPr>
          <w:rFonts w:ascii="黑体"/>
          <w:sz w:val="10"/>
        </w:rPr>
      </w:pPr>
    </w:p>
    <w:p>
      <w:pPr>
        <w:pStyle w:val="2"/>
        <w:ind w:left="0"/>
        <w:rPr>
          <w:rFonts w:ascii="黑体"/>
          <w:sz w:val="20"/>
        </w:rPr>
      </w:pPr>
    </w:p>
    <w:p>
      <w:pPr>
        <w:pStyle w:val="2"/>
        <w:spacing w:before="6"/>
        <w:ind w:left="0"/>
        <w:rPr>
          <w:rFonts w:ascii="黑体"/>
          <w:sz w:val="26"/>
        </w:rPr>
      </w:pPr>
    </w:p>
    <w:p>
      <w:pPr>
        <w:pStyle w:val="2"/>
        <w:spacing w:before="55" w:afterLines="150"/>
        <w:ind w:left="760"/>
        <w:rPr>
          <w:rFonts w:ascii="黑体" w:eastAsia="黑体"/>
        </w:rPr>
      </w:pPr>
      <w:bookmarkStart w:id="49" w:name="九、《国有资本经营预算财政拨款收入支出决算表》"/>
      <w:bookmarkEnd w:id="49"/>
      <w:r>
        <w:rPr>
          <w:rFonts w:hint="eastAsia" w:ascii="黑体" w:eastAsia="黑体"/>
        </w:rPr>
        <w:t>九、《国有资本经营预算财政拨款收入支出决算表》</w:t>
      </w:r>
    </w:p>
    <w:p>
      <w:pPr>
        <w:pStyle w:val="2"/>
        <w:ind w:left="0"/>
        <w:rPr>
          <w:rFonts w:ascii="黑体"/>
          <w:sz w:val="20"/>
        </w:rPr>
      </w:pPr>
    </w:p>
    <w:p>
      <w:pPr>
        <w:pStyle w:val="2"/>
        <w:spacing w:before="5"/>
        <w:ind w:left="0"/>
        <w:rPr>
          <w:rFonts w:ascii="黑体"/>
          <w:sz w:val="26"/>
        </w:rPr>
      </w:pPr>
      <w:r>
        <w:rPr>
          <w:lang w:val="en-US" w:bidi="ar-SA"/>
        </w:rPr>
        <w:drawing>
          <wp:inline distT="0" distB="0" distL="114300" distR="114300">
            <wp:extent cx="5720080" cy="2182495"/>
            <wp:effectExtent l="0" t="0" r="13970" b="825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4" cstate="print"/>
                    <a:stretch>
                      <a:fillRect/>
                    </a:stretch>
                  </pic:blipFill>
                  <pic:spPr>
                    <a:xfrm>
                      <a:off x="0" y="0"/>
                      <a:ext cx="5720080" cy="2182495"/>
                    </a:xfrm>
                    <a:prstGeom prst="rect">
                      <a:avLst/>
                    </a:prstGeom>
                    <a:noFill/>
                    <a:ln>
                      <a:noFill/>
                    </a:ln>
                  </pic:spPr>
                </pic:pic>
              </a:graphicData>
            </a:graphic>
          </wp:inline>
        </w:drawing>
      </w:r>
    </w:p>
    <w:sectPr>
      <w:pgSz w:w="11910" w:h="16840"/>
      <w:pgMar w:top="1500" w:right="1220" w:bottom="1180" w:left="1680" w:header="0" w:footer="993"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方正小标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ind w:left="0"/>
      <w:rPr>
        <w:sz w:val="20"/>
      </w:rPr>
    </w:pPr>
    <w:r>
      <mc:AlternateContent>
        <mc:Choice Requires="wps">
          <w:drawing>
            <wp:anchor distT="0" distB="0" distL="114300" distR="114300" simplePos="0" relativeHeight="251664384" behindDoc="1" locked="0" layoutInCell="1" allowOverlap="1">
              <wp:simplePos x="0" y="0"/>
              <wp:positionH relativeFrom="page">
                <wp:posOffset>3726815</wp:posOffset>
              </wp:positionH>
              <wp:positionV relativeFrom="page">
                <wp:posOffset>9921875</wp:posOffset>
              </wp:positionV>
              <wp:extent cx="107950" cy="152400"/>
              <wp:effectExtent l="0" t="0" r="0" b="0"/>
              <wp:wrapNone/>
              <wp:docPr id="1" name="文本框 2"/>
              <wp:cNvGraphicFramePr/>
              <a:graphic xmlns:a="http://schemas.openxmlformats.org/drawingml/2006/main">
                <a:graphicData uri="http://schemas.microsoft.com/office/word/2010/wordprocessingShape">
                  <wps:wsp>
                    <wps:cNvSpPr txBox="1"/>
                    <wps:spPr>
                      <a:xfrm>
                        <a:off x="0" y="0"/>
                        <a:ext cx="107950" cy="152400"/>
                      </a:xfrm>
                      <a:prstGeom prst="rect">
                        <a:avLst/>
                      </a:prstGeom>
                      <a:noFill/>
                      <a:ln>
                        <a:noFill/>
                      </a:ln>
                      <a:effectLst/>
                    </wps:spPr>
                    <wps:txbx>
                      <w:txbxContent>
                        <w:p>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2</w:t>
                          </w:r>
                          <w:r>
                            <w:fldChar w:fldCharType="end"/>
                          </w:r>
                        </w:p>
                      </w:txbxContent>
                    </wps:txbx>
                    <wps:bodyPr lIns="0" tIns="0" rIns="0" bIns="0" upright="1"/>
                  </wps:wsp>
                </a:graphicData>
              </a:graphic>
            </wp:anchor>
          </w:drawing>
        </mc:Choice>
        <mc:Fallback>
          <w:pict>
            <v:shape id="文本框 2" o:spid="_x0000_s1026" o:spt="202" type="#_x0000_t202" style="position:absolute;left:0pt;margin-left:293.45pt;margin-top:781.25pt;height:12pt;width:8.5pt;mso-position-horizontal-relative:page;mso-position-vertical-relative:page;z-index:-251652096;mso-width-relative:page;mso-height-relative:page;" filled="f" stroked="f" coordsize="21600,21600" o:gfxdata="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vHB7b2QAAAA0BAAAPAAAAAAAAAAEAIAAAACIAAABkcnMvZG93bnJldi54bWxQ&#10;SwECFAAUAAAACACHTuJAoggqC70BAAB/AwAADgAAAAAAAAABACAAAAAoAQAAZHJzL2Uyb0RvYy54&#10;bWxQSwUGAAAAAAYABgBZAQAAVwUAAAAA&#10;">
              <v:fill on="f" focussize="0,0"/>
              <v:stroke on="f"/>
              <v:imagedata o:title=""/>
              <o:lock v:ext="edit" aspectratio="f"/>
              <v:textbox inset="0mm,0mm,0mm,0mm">
                <w:txbxContent>
                  <w:p>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ind w:left="0"/>
      <w:rPr>
        <w:sz w:val="20"/>
      </w:rPr>
    </w:pPr>
    <w:r>
      <mc:AlternateContent>
        <mc:Choice Requires="wps">
          <w:drawing>
            <wp:anchor distT="0" distB="0" distL="114300" distR="114300" simplePos="0" relativeHeight="251665408" behindDoc="1" locked="0" layoutInCell="1" allowOverlap="1">
              <wp:simplePos x="0" y="0"/>
              <wp:positionH relativeFrom="page">
                <wp:posOffset>3697605</wp:posOffset>
              </wp:positionH>
              <wp:positionV relativeFrom="page">
                <wp:posOffset>9921875</wp:posOffset>
              </wp:positionV>
              <wp:extent cx="166370" cy="1524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66370" cy="152400"/>
                      </a:xfrm>
                      <a:prstGeom prst="rect">
                        <a:avLst/>
                      </a:prstGeom>
                      <a:noFill/>
                      <a:ln>
                        <a:noFill/>
                      </a:ln>
                      <a:effectLst/>
                    </wps:spPr>
                    <wps:txbx>
                      <w:txbxContent>
                        <w:p>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10</w:t>
                          </w:r>
                          <w:r>
                            <w:fldChar w:fldCharType="end"/>
                          </w:r>
                        </w:p>
                      </w:txbxContent>
                    </wps:txbx>
                    <wps:bodyPr lIns="0" tIns="0" rIns="0" bIns="0" upright="1"/>
                  </wps:wsp>
                </a:graphicData>
              </a:graphic>
            </wp:anchor>
          </w:drawing>
        </mc:Choice>
        <mc:Fallback>
          <w:pict>
            <v:shape id="文本框 1" o:spid="_x0000_s1026" o:spt="202" type="#_x0000_t202" style="position:absolute;left:0pt;margin-left:291.15pt;margin-top:781.25pt;height:12pt;width:13.1pt;mso-position-horizontal-relative:page;mso-position-vertical-relative:page;z-index:-251651072;mso-width-relative:page;mso-height-relative:page;" filled="f" stroked="f" coordsize="21600,21600" o:gfxdata="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U48VQ9oAAAANAQAADwAAAAAAAAABACAAAAAiAAAAZHJzL2Rvd25yZXYueG1s&#10;UEsBAhQAFAAAAAgAh07iQEjYWva9AQAAfwMAAA4AAAAAAAAAAQAgAAAAKQEAAGRycy9lMm9Eb2Mu&#10;eG1sUEsFBgAAAAAGAAYAWQEAAFgFAAAAAA==&#10;">
              <v:fill on="f" focussize="0,0"/>
              <v:stroke on="f"/>
              <v:imagedata o:title=""/>
              <o:lock v:ext="edit" aspectratio="f"/>
              <v:textbox inset="0mm,0mm,0mm,0mm">
                <w:txbxContent>
                  <w:p>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10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B0A40F"/>
    <w:multiLevelType w:val="singleLevel"/>
    <w:tmpl w:val="CEB0A40F"/>
    <w:lvl w:ilvl="0" w:tentative="0">
      <w:start w:val="6"/>
      <w:numFmt w:val="chineseCounting"/>
      <w:suff w:val="nothing"/>
      <w:lvlText w:val="%1、"/>
      <w:lvlJc w:val="left"/>
      <w:rPr>
        <w:rFonts w:hint="eastAsia"/>
      </w:rPr>
    </w:lvl>
  </w:abstractNum>
  <w:abstractNum w:abstractNumId="1">
    <w:nsid w:val="18187290"/>
    <w:multiLevelType w:val="singleLevel"/>
    <w:tmpl w:val="18187290"/>
    <w:lvl w:ilvl="0" w:tentative="0">
      <w:start w:val="4"/>
      <w:numFmt w:val="chineseCounting"/>
      <w:suff w:val="space"/>
      <w:lvlText w:val="第%1部分"/>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HorizontalSpacing w:val="110"/>
  <w:noPunctuationKerning w:val="1"/>
  <w:characterSpacingControl w:val="doNotCompress"/>
  <w:hdrShapeDefaults>
    <o:shapelayout v:ext="edit">
      <o:idmap v:ext="edit" data="1"/>
    </o:shapelayout>
  </w:hdrShapeDefaults>
  <w:compat>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M0YmQ2MGZkNWFlOWNiYWRjZjc5MmVjYzUwMmFkYTcifQ=="/>
  </w:docVars>
  <w:rsids>
    <w:rsidRoot w:val="005551C3"/>
    <w:rsid w:val="001C26D5"/>
    <w:rsid w:val="001E56B8"/>
    <w:rsid w:val="002C6083"/>
    <w:rsid w:val="00302ACC"/>
    <w:rsid w:val="00304386"/>
    <w:rsid w:val="00367267"/>
    <w:rsid w:val="003C0DE1"/>
    <w:rsid w:val="003F5CE5"/>
    <w:rsid w:val="00446881"/>
    <w:rsid w:val="005551C3"/>
    <w:rsid w:val="005578D8"/>
    <w:rsid w:val="00676D1E"/>
    <w:rsid w:val="006C2188"/>
    <w:rsid w:val="0077635D"/>
    <w:rsid w:val="007B4CFF"/>
    <w:rsid w:val="008B25FB"/>
    <w:rsid w:val="0091028A"/>
    <w:rsid w:val="0094250D"/>
    <w:rsid w:val="00966B38"/>
    <w:rsid w:val="009E3A17"/>
    <w:rsid w:val="00A11D50"/>
    <w:rsid w:val="00A23242"/>
    <w:rsid w:val="00AC2B1E"/>
    <w:rsid w:val="00AD37A3"/>
    <w:rsid w:val="00AF3969"/>
    <w:rsid w:val="00AF7BD7"/>
    <w:rsid w:val="00B26B78"/>
    <w:rsid w:val="00CA3B28"/>
    <w:rsid w:val="00D16F82"/>
    <w:rsid w:val="00DB26F7"/>
    <w:rsid w:val="00DB76C8"/>
    <w:rsid w:val="00E351D1"/>
    <w:rsid w:val="00E80436"/>
    <w:rsid w:val="00E8420C"/>
    <w:rsid w:val="00F973E4"/>
    <w:rsid w:val="00FB0758"/>
    <w:rsid w:val="0B042AE6"/>
    <w:rsid w:val="0E467287"/>
    <w:rsid w:val="13B81789"/>
    <w:rsid w:val="1767603B"/>
    <w:rsid w:val="23FD07DD"/>
    <w:rsid w:val="29282250"/>
    <w:rsid w:val="29E8191F"/>
    <w:rsid w:val="2B462BCF"/>
    <w:rsid w:val="2B70233A"/>
    <w:rsid w:val="2BD41120"/>
    <w:rsid w:val="2C936372"/>
    <w:rsid w:val="2CE62A80"/>
    <w:rsid w:val="325313A4"/>
    <w:rsid w:val="377E0354"/>
    <w:rsid w:val="428927FA"/>
    <w:rsid w:val="44BC7C5E"/>
    <w:rsid w:val="48B175FA"/>
    <w:rsid w:val="49A2761A"/>
    <w:rsid w:val="49FF68E5"/>
    <w:rsid w:val="4BF711E7"/>
    <w:rsid w:val="55F87493"/>
    <w:rsid w:val="579C3A7C"/>
    <w:rsid w:val="5AC471C7"/>
    <w:rsid w:val="5BBC456A"/>
    <w:rsid w:val="5CD41522"/>
    <w:rsid w:val="5CE8012B"/>
    <w:rsid w:val="5FDF67AD"/>
    <w:rsid w:val="610C4CAE"/>
    <w:rsid w:val="611564B6"/>
    <w:rsid w:val="614D0AC7"/>
    <w:rsid w:val="636424A7"/>
    <w:rsid w:val="6B23291F"/>
    <w:rsid w:val="6C9C2D84"/>
    <w:rsid w:val="6CBF0723"/>
    <w:rsid w:val="714326EA"/>
    <w:rsid w:val="728E2A1A"/>
    <w:rsid w:val="72C937DD"/>
    <w:rsid w:val="756D2146"/>
    <w:rsid w:val="7EFA2E8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仿宋" w:hAnsi="仿宋" w:eastAsia="仿宋" w:cs="仿宋"/>
      <w:sz w:val="22"/>
      <w:szCs w:val="22"/>
      <w:lang w:val="zh-CN" w:eastAsia="zh-CN" w:bidi="zh-CN"/>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pPr>
      <w:ind w:left="120"/>
    </w:pPr>
    <w:rPr>
      <w:sz w:val="32"/>
      <w:szCs w:val="32"/>
    </w:rPr>
  </w:style>
  <w:style w:type="paragraph" w:styleId="3">
    <w:name w:val="toc 3"/>
    <w:basedOn w:val="1"/>
    <w:next w:val="1"/>
    <w:qFormat/>
    <w:uiPriority w:val="0"/>
    <w:pPr>
      <w:autoSpaceDE/>
      <w:autoSpaceDN/>
      <w:ind w:left="840" w:leftChars="400"/>
      <w:jc w:val="both"/>
    </w:pPr>
    <w:rPr>
      <w:rFonts w:ascii="Times New Roman" w:hAnsi="Times New Roman" w:eastAsia="宋体" w:cs="Times New Roman"/>
      <w:kern w:val="2"/>
      <w:sz w:val="21"/>
      <w:szCs w:val="24"/>
      <w:lang w:val="en-US" w:bidi="ar-SA"/>
    </w:rPr>
  </w:style>
  <w:style w:type="paragraph" w:styleId="4">
    <w:name w:val="footer"/>
    <w:basedOn w:val="1"/>
    <w:semiHidden/>
    <w:unhideWhenUsed/>
    <w:qFormat/>
    <w:uiPriority w:val="99"/>
    <w:pPr>
      <w:tabs>
        <w:tab w:val="center" w:pos="4153"/>
        <w:tab w:val="right" w:pos="8306"/>
      </w:tabs>
      <w:snapToGrid w:val="0"/>
    </w:pPr>
    <w:rPr>
      <w:sz w:val="18"/>
    </w:rPr>
  </w:style>
  <w:style w:type="paragraph" w:styleId="5">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table" w:customStyle="1" w:styleId="8">
    <w:name w:val="Table Normal"/>
    <w:semiHidden/>
    <w:unhideWhenUsed/>
    <w:qFormat/>
    <w:uiPriority w:val="2"/>
    <w:tblPr>
      <w:tblCellMar>
        <w:top w:w="0" w:type="dxa"/>
        <w:left w:w="0" w:type="dxa"/>
        <w:bottom w:w="0" w:type="dxa"/>
        <w:right w:w="0" w:type="dxa"/>
      </w:tblCellMar>
    </w:tblPr>
  </w:style>
  <w:style w:type="paragraph" w:customStyle="1" w:styleId="9">
    <w:name w:val="Heading 1"/>
    <w:basedOn w:val="1"/>
    <w:qFormat/>
    <w:uiPriority w:val="1"/>
    <w:pPr>
      <w:ind w:left="120"/>
      <w:outlineLvl w:val="1"/>
    </w:pPr>
    <w:rPr>
      <w:b/>
      <w:bCs/>
      <w:sz w:val="32"/>
      <w:szCs w:val="32"/>
    </w:rPr>
  </w:style>
  <w:style w:type="paragraph" w:styleId="10">
    <w:name w:val="List Paragraph"/>
    <w:basedOn w:val="1"/>
    <w:qFormat/>
    <w:uiPriority w:val="1"/>
  </w:style>
  <w:style w:type="paragraph" w:customStyle="1" w:styleId="11">
    <w:name w:val="Table Paragraph"/>
    <w:basedOn w:val="1"/>
    <w:qFormat/>
    <w:uiPriority w:val="1"/>
  </w:style>
  <w:style w:type="character" w:customStyle="1" w:styleId="12">
    <w:name w:val="font61"/>
    <w:basedOn w:val="7"/>
    <w:qFormat/>
    <w:uiPriority w:val="0"/>
    <w:rPr>
      <w:rFonts w:hint="eastAsia" w:ascii="宋体" w:hAnsi="宋体" w:eastAsia="宋体" w:cs="宋体"/>
      <w:color w:val="000000"/>
      <w:sz w:val="20"/>
      <w:szCs w:val="20"/>
      <w:u w:val="none"/>
    </w:rPr>
  </w:style>
  <w:style w:type="character" w:customStyle="1" w:styleId="13">
    <w:name w:val="font122"/>
    <w:basedOn w:val="7"/>
    <w:qFormat/>
    <w:uiPriority w:val="0"/>
    <w:rPr>
      <w:rFonts w:hint="eastAsia" w:ascii="宋体" w:hAnsi="宋体" w:eastAsia="宋体" w:cs="宋体"/>
      <w:color w:val="000000"/>
      <w:sz w:val="20"/>
      <w:szCs w:val="20"/>
      <w:u w:val="none"/>
    </w:rPr>
  </w:style>
  <w:style w:type="character" w:customStyle="1" w:styleId="14">
    <w:name w:val="font101"/>
    <w:basedOn w:val="7"/>
    <w:qFormat/>
    <w:uiPriority w:val="0"/>
    <w:rPr>
      <w:rFonts w:hint="eastAsia" w:ascii="宋体" w:hAnsi="宋体" w:eastAsia="宋体" w:cs="宋体"/>
      <w:color w:val="000000"/>
      <w:sz w:val="20"/>
      <w:szCs w:val="20"/>
      <w:u w:val="none"/>
    </w:rPr>
  </w:style>
  <w:style w:type="character" w:customStyle="1" w:styleId="15">
    <w:name w:val="font51"/>
    <w:basedOn w:val="7"/>
    <w:qFormat/>
    <w:uiPriority w:val="0"/>
    <w:rPr>
      <w:rFonts w:hint="eastAsia" w:ascii="宋体" w:hAnsi="宋体" w:eastAsia="宋体" w:cs="宋体"/>
      <w:color w:val="000000"/>
      <w:sz w:val="18"/>
      <w:szCs w:val="18"/>
      <w:u w:val="none"/>
    </w:rPr>
  </w:style>
  <w:style w:type="character" w:customStyle="1" w:styleId="16">
    <w:name w:val="font112"/>
    <w:basedOn w:val="7"/>
    <w:qFormat/>
    <w:uiPriority w:val="0"/>
    <w:rPr>
      <w:rFonts w:hint="eastAsia" w:ascii="宋体" w:hAnsi="宋体" w:eastAsia="宋体" w:cs="宋体"/>
      <w:color w:val="000000"/>
      <w:sz w:val="18"/>
      <w:szCs w:val="18"/>
      <w:u w:val="none"/>
    </w:rPr>
  </w:style>
  <w:style w:type="character" w:customStyle="1" w:styleId="17">
    <w:name w:val="font121"/>
    <w:basedOn w:val="7"/>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BFA3FF-F9CA-41E1-8A17-013B0224D796}">
  <ds:schemaRefs/>
</ds:datastoreItem>
</file>

<file path=docProps/app.xml><?xml version="1.0" encoding="utf-8"?>
<Properties xmlns="http://schemas.openxmlformats.org/officeDocument/2006/extended-properties" xmlns:vt="http://schemas.openxmlformats.org/officeDocument/2006/docPropsVTypes">
  <Template>Normal</Template>
  <Pages>20</Pages>
  <Words>6652</Words>
  <Characters>7699</Characters>
  <Lines>22</Lines>
  <Paragraphs>18</Paragraphs>
  <TotalTime>2</TotalTime>
  <ScaleCrop>false</ScaleCrop>
  <LinksUpToDate>false</LinksUpToDate>
  <CharactersWithSpaces>7784</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2022-02-24T05:30:00Z</dcterms:created>
  <dc:creator>GXR</dc:creator>
  <cp:lastModifiedBy>安荷</cp:lastModifiedBy>
  <cp:lastPrinted>2021-11-01T03:40:00Z</cp:lastPrinted>
  <dcterms:modified xsi:type="dcterms:W3CDTF">2022-09-02T11:43:08Z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2021-08-06T00:00:00Z</vt:filetime>
  </property>
  <property fmtid="{D5CDD505-2E9C-101B-9397-08002B2CF9AE}" pid="3" name="Creator">
    <vt:lpwstr>WPS 文字</vt:lpwstr>
  </property>
  <property fmtid="{D5CDD505-2E9C-101B-9397-08002B2CF9AE}" pid="4" name="LastSaved">
    <vt:filetime>2021-08-12T00:00:00Z</vt:filetime>
  </property>
  <property fmtid="{D5CDD505-2E9C-101B-9397-08002B2CF9AE}" pid="5" name="KSOProductBuildVer">
    <vt:lpwstr>2052-11.1.0.12313</vt:lpwstr>
  </property>
  <property fmtid="{D5CDD505-2E9C-101B-9397-08002B2CF9AE}" pid="6" name="ICV">
    <vt:lpwstr>5553CF40AF7D44F89B221E1B42779F56</vt:lpwstr>
  </property>
</Properties>
</file>